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1B3EACE9"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0F0D72">
        <w:rPr>
          <w:rFonts w:eastAsia="宋体"/>
          <w:lang w:eastAsia="zh-CN"/>
        </w:rPr>
        <w:t>10</w:t>
      </w:r>
      <w:r w:rsidR="00251009">
        <w:rPr>
          <w:rFonts w:eastAsia="宋体"/>
          <w:lang w:eastAsia="zh-CN"/>
        </w:rPr>
        <w:t>-bis</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0F0D72">
        <w:rPr>
          <w:rFonts w:eastAsia="宋体"/>
          <w:lang w:eastAsia="zh-CN"/>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251009">
        <w:rPr>
          <w:rFonts w:eastAsia="宋体"/>
          <w:lang w:eastAsia="zh-CN"/>
        </w:rPr>
        <w:t xml:space="preserve">        </w:t>
      </w:r>
      <w:r w:rsidR="00903973" w:rsidRPr="00903973">
        <w:t>R4-230</w:t>
      </w:r>
      <w:r w:rsidR="00973CF9">
        <w:t>4506</w:t>
      </w:r>
      <w:bookmarkStart w:id="2" w:name="_GoBack"/>
      <w:bookmarkEnd w:id="2"/>
    </w:p>
    <w:p w14:paraId="61191C36" w14:textId="153B3363" w:rsidR="00675C27" w:rsidRPr="00444A16" w:rsidRDefault="0098480D" w:rsidP="0037575E">
      <w:pPr>
        <w:pStyle w:val="afb"/>
        <w:jc w:val="both"/>
        <w:rPr>
          <w:rFonts w:eastAsia="宋体"/>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4190B4F5"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C60C46" w:rsidRPr="00C60C46">
        <w:rPr>
          <w:rFonts w:ascii="Arial" w:hAnsi="Arial" w:cs="Arial"/>
        </w:rPr>
        <w:t>O</w:t>
      </w:r>
      <w:r w:rsidR="006C2585">
        <w:rPr>
          <w:rFonts w:ascii="Arial" w:hAnsi="Arial" w:cs="Arial"/>
        </w:rPr>
        <w:t xml:space="preserve">n sidelink intra-band </w:t>
      </w:r>
      <w:r w:rsidR="00C60C46" w:rsidRPr="00C60C46">
        <w:rPr>
          <w:rFonts w:ascii="Arial" w:hAnsi="Arial" w:cs="Arial"/>
        </w:rPr>
        <w:t>non-contiguous CA in PC3 and PC2</w:t>
      </w:r>
    </w:p>
    <w:p w14:paraId="535E320E" w14:textId="4BF0B553"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0F0D72">
        <w:rPr>
          <w:rFonts w:ascii="Arial" w:hAnsi="Arial" w:cs="Arial"/>
        </w:rPr>
        <w:t>9.9.</w:t>
      </w:r>
      <w:r w:rsidR="00C60C46">
        <w:rPr>
          <w:rFonts w:ascii="Arial" w:hAnsi="Arial" w:cs="Arial"/>
        </w:rPr>
        <w:t>2</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3C98F96B" w:rsidR="009A089A" w:rsidRPr="00EA4922" w:rsidRDefault="00E51E86" w:rsidP="0037575E">
      <w:pPr>
        <w:jc w:val="both"/>
        <w:rPr>
          <w:sz w:val="20"/>
        </w:rPr>
      </w:pPr>
      <w:r w:rsidRPr="00EA4922">
        <w:rPr>
          <w:sz w:val="20"/>
        </w:rPr>
        <w:t xml:space="preserve">The </w:t>
      </w:r>
      <w:r w:rsidR="008177ED">
        <w:rPr>
          <w:sz w:val="20"/>
        </w:rPr>
        <w:t xml:space="preserve">New </w:t>
      </w:r>
      <w:r w:rsidRPr="00EA4922">
        <w:rPr>
          <w:sz w:val="20"/>
        </w:rPr>
        <w:t>WID revision [1] was approved in RAN#</w:t>
      </w:r>
      <w:r w:rsidR="008177ED">
        <w:rPr>
          <w:sz w:val="20"/>
        </w:rPr>
        <w:t>103</w:t>
      </w:r>
      <w:r w:rsidRPr="00EA4922">
        <w:rPr>
          <w:sz w:val="20"/>
        </w:rPr>
        <w:t xml:space="preserve"> </w:t>
      </w:r>
      <w:r w:rsidR="00EF48A7" w:rsidRPr="00EA4922">
        <w:rPr>
          <w:sz w:val="20"/>
        </w:rPr>
        <w:t>with</w:t>
      </w:r>
      <w:r w:rsidRPr="00EA4922">
        <w:rPr>
          <w:sz w:val="20"/>
        </w:rPr>
        <w:t xml:space="preserve"> the scope for </w:t>
      </w:r>
      <w:r w:rsidR="00EF48A7" w:rsidRPr="00EA4922">
        <w:rPr>
          <w:sz w:val="20"/>
        </w:rPr>
        <w:t xml:space="preserve">sidelink </w:t>
      </w:r>
      <w:r w:rsidR="00E45C10">
        <w:rPr>
          <w:sz w:val="20"/>
        </w:rPr>
        <w:t xml:space="preserve">contiguous and non-contiguous </w:t>
      </w:r>
      <w:r w:rsidR="00EF48A7" w:rsidRPr="00EA4922">
        <w:rPr>
          <w:sz w:val="20"/>
        </w:rPr>
        <w:t>CA operation in</w:t>
      </w:r>
      <w:r w:rsidRPr="00EA4922">
        <w:rPr>
          <w:sz w:val="20"/>
        </w:rPr>
        <w:t xml:space="preserve"> </w:t>
      </w:r>
      <w:r w:rsidR="00E45C10">
        <w:rPr>
          <w:sz w:val="20"/>
        </w:rPr>
        <w:t>ITS band</w:t>
      </w:r>
      <w:r w:rsidRPr="00EA4922">
        <w:rPr>
          <w:sz w:val="20"/>
        </w:rPr>
        <w:t xml:space="preserve">.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3240AC49" w14:textId="77777777" w:rsidR="00E45C10" w:rsidRPr="00E45C10" w:rsidRDefault="00E45C10" w:rsidP="00E45C10">
            <w:pPr>
              <w:numPr>
                <w:ilvl w:val="0"/>
                <w:numId w:val="68"/>
              </w:numPr>
              <w:overflowPunct/>
              <w:autoSpaceDE/>
              <w:autoSpaceDN/>
              <w:adjustRightInd/>
              <w:spacing w:before="120" w:after="60" w:line="240" w:lineRule="auto"/>
              <w:contextualSpacing/>
              <w:textAlignment w:val="auto"/>
              <w:rPr>
                <w:rFonts w:ascii="Times" w:eastAsia="等线" w:hAnsi="Times"/>
                <w:sz w:val="20"/>
                <w:szCs w:val="24"/>
              </w:rPr>
            </w:pPr>
            <w:r w:rsidRPr="00E45C10">
              <w:rPr>
                <w:rFonts w:ascii="Times" w:eastAsia="等线" w:hAnsi="Times"/>
                <w:sz w:val="20"/>
                <w:szCs w:val="24"/>
              </w:rPr>
              <w:t>Specify the RF requirements for NR sidelink CA in n47:</w:t>
            </w:r>
          </w:p>
          <w:p w14:paraId="761E454E" w14:textId="77777777" w:rsidR="00E45C10" w:rsidRPr="00E45C10" w:rsidRDefault="00E45C10" w:rsidP="00E45C10">
            <w:pPr>
              <w:numPr>
                <w:ilvl w:val="1"/>
                <w:numId w:val="68"/>
              </w:numPr>
              <w:overflowPunct/>
              <w:autoSpaceDE/>
              <w:autoSpaceDN/>
              <w:adjustRightInd/>
              <w:spacing w:before="60" w:after="60" w:line="240" w:lineRule="auto"/>
              <w:contextualSpacing/>
              <w:textAlignment w:val="auto"/>
              <w:rPr>
                <w:rFonts w:ascii="Times" w:eastAsia="等线" w:hAnsi="Times"/>
                <w:sz w:val="20"/>
                <w:szCs w:val="24"/>
              </w:rPr>
            </w:pPr>
            <w:r w:rsidRPr="00E45C10">
              <w:rPr>
                <w:rFonts w:ascii="Times" w:eastAsia="等线" w:hAnsi="Times"/>
                <w:sz w:val="20"/>
                <w:szCs w:val="24"/>
              </w:rPr>
              <w:t>Intra-band non-contiguous CA with power class 2 and power class 3, with Component Carrier (CC) combinations 10MHz + 10MHz and 10MHz + 20MHz</w:t>
            </w:r>
          </w:p>
          <w:p w14:paraId="0255CAE9" w14:textId="77777777" w:rsidR="00E45C10" w:rsidRPr="00E45C10" w:rsidRDefault="00E45C10" w:rsidP="00E45C10">
            <w:pPr>
              <w:numPr>
                <w:ilvl w:val="1"/>
                <w:numId w:val="68"/>
              </w:numPr>
              <w:spacing w:line="240" w:lineRule="auto"/>
              <w:rPr>
                <w:rFonts w:ascii="Times" w:eastAsia="等线" w:hAnsi="Times"/>
                <w:sz w:val="20"/>
                <w:szCs w:val="24"/>
              </w:rPr>
            </w:pPr>
            <w:r w:rsidRPr="00E45C10">
              <w:rPr>
                <w:rFonts w:ascii="Times" w:eastAsia="等线" w:hAnsi="Times"/>
                <w:sz w:val="20"/>
                <w:szCs w:val="24"/>
              </w:rPr>
              <w:t>Intra-band contiguous CA with power class 2</w:t>
            </w:r>
          </w:p>
          <w:p w14:paraId="3055ECA4" w14:textId="77777777" w:rsidR="00E45C10" w:rsidRPr="00E45C10" w:rsidRDefault="00E45C10" w:rsidP="00E45C10">
            <w:pPr>
              <w:numPr>
                <w:ilvl w:val="0"/>
                <w:numId w:val="68"/>
              </w:numPr>
              <w:overflowPunct/>
              <w:autoSpaceDE/>
              <w:autoSpaceDN/>
              <w:adjustRightInd/>
              <w:spacing w:before="60" w:after="60" w:line="240" w:lineRule="auto"/>
              <w:contextualSpacing/>
              <w:textAlignment w:val="auto"/>
              <w:rPr>
                <w:rFonts w:ascii="Times" w:eastAsia="等线" w:hAnsi="Times"/>
                <w:sz w:val="20"/>
                <w:szCs w:val="24"/>
              </w:rPr>
            </w:pPr>
            <w:r w:rsidRPr="00E45C10">
              <w:rPr>
                <w:rFonts w:ascii="Times" w:eastAsia="等线" w:hAnsi="Times"/>
                <w:sz w:val="20"/>
                <w:szCs w:val="24"/>
              </w:rPr>
              <w:t xml:space="preserve">Introduce necessary changes for release independence specification, if identified </w:t>
            </w:r>
          </w:p>
          <w:p w14:paraId="6B64188F" w14:textId="77777777" w:rsidR="00E45C10" w:rsidRPr="00E45C10" w:rsidRDefault="00E45C10" w:rsidP="00E45C10">
            <w:pPr>
              <w:spacing w:after="0" w:line="240" w:lineRule="auto"/>
              <w:rPr>
                <w:rFonts w:eastAsia="Malgun Gothic"/>
                <w:bCs/>
                <w:sz w:val="20"/>
                <w:lang w:eastAsia="en-GB"/>
              </w:rPr>
            </w:pPr>
          </w:p>
          <w:p w14:paraId="7A0F13A4" w14:textId="77777777" w:rsidR="00E45C10" w:rsidRPr="00E45C10" w:rsidRDefault="00E45C10" w:rsidP="00E45C10">
            <w:pPr>
              <w:spacing w:after="0" w:line="240" w:lineRule="auto"/>
              <w:rPr>
                <w:rFonts w:eastAsia="Malgun Gothic"/>
                <w:bCs/>
                <w:sz w:val="20"/>
                <w:lang w:eastAsia="en-GB"/>
              </w:rPr>
            </w:pPr>
            <w:r w:rsidRPr="00E45C10">
              <w:rPr>
                <w:rFonts w:eastAsia="Malgun Gothic"/>
                <w:bCs/>
                <w:sz w:val="20"/>
                <w:lang w:eastAsia="en-GB"/>
              </w:rPr>
              <w:t>Note: Work for power class 3 starts first in RAN4. Whether there is any RRM core requirement to be specified will be confirmed in Q3 2024.</w:t>
            </w:r>
          </w:p>
          <w:p w14:paraId="27EE6FAE" w14:textId="3903F48A" w:rsidR="00E51E86" w:rsidRPr="00EA4922" w:rsidRDefault="00E51E86" w:rsidP="0037575E">
            <w:pPr>
              <w:spacing w:after="0"/>
              <w:jc w:val="both"/>
              <w:rPr>
                <w:sz w:val="20"/>
              </w:rPr>
            </w:pPr>
          </w:p>
        </w:tc>
      </w:tr>
    </w:tbl>
    <w:p w14:paraId="70611D39" w14:textId="6FB9C353" w:rsidR="00E51E86" w:rsidRPr="00EA4922" w:rsidRDefault="00A530D3" w:rsidP="006C2585">
      <w:pPr>
        <w:snapToGrid w:val="0"/>
        <w:spacing w:beforeLines="50" w:before="120" w:line="240" w:lineRule="auto"/>
        <w:jc w:val="both"/>
        <w:rPr>
          <w:sz w:val="20"/>
        </w:rPr>
      </w:pPr>
      <w:r w:rsidRPr="00EA4922">
        <w:rPr>
          <w:sz w:val="20"/>
        </w:rPr>
        <w:t xml:space="preserve">In this contribution, we provide our consideration and initial analysis on RAN4 work for </w:t>
      </w:r>
      <w:r w:rsidR="00E45C10">
        <w:rPr>
          <w:sz w:val="20"/>
        </w:rPr>
        <w:t>NR sidelink i</w:t>
      </w:r>
      <w:r w:rsidR="00E45C10" w:rsidRPr="00E45C10">
        <w:rPr>
          <w:sz w:val="20"/>
        </w:rPr>
        <w:t xml:space="preserve">ntra-band </w:t>
      </w:r>
      <w:r w:rsidR="006C2585">
        <w:rPr>
          <w:sz w:val="20"/>
        </w:rPr>
        <w:t>non-</w:t>
      </w:r>
      <w:r w:rsidR="00E45C10" w:rsidRPr="00E45C10">
        <w:rPr>
          <w:sz w:val="20"/>
        </w:rPr>
        <w:t xml:space="preserve">contiguous CA with </w:t>
      </w:r>
      <w:r w:rsidR="006B6F09">
        <w:rPr>
          <w:sz w:val="20"/>
        </w:rPr>
        <w:t xml:space="preserve">power class 3 and </w:t>
      </w:r>
      <w:r w:rsidR="00E45C10" w:rsidRPr="00E45C10">
        <w:rPr>
          <w:sz w:val="20"/>
        </w:rPr>
        <w:t>power class 2</w:t>
      </w:r>
      <w:r w:rsidR="00DE3BF3">
        <w:rPr>
          <w:sz w:val="20"/>
        </w:rPr>
        <w:t xml:space="preserve">. </w:t>
      </w:r>
    </w:p>
    <w:p w14:paraId="58AB0513" w14:textId="77777777" w:rsidR="00062E8E" w:rsidRDefault="00062E8E" w:rsidP="0037575E">
      <w:pPr>
        <w:pStyle w:val="1"/>
        <w:spacing w:after="240"/>
        <w:jc w:val="both"/>
        <w:rPr>
          <w:rFonts w:eastAsia="宋体"/>
          <w:lang w:eastAsia="zh-CN"/>
        </w:rPr>
      </w:pPr>
      <w:r>
        <w:rPr>
          <w:rFonts w:eastAsia="宋体" w:hint="eastAsia"/>
          <w:lang w:eastAsia="zh-CN"/>
        </w:rPr>
        <w:t>Discussion</w:t>
      </w:r>
    </w:p>
    <w:p w14:paraId="310EBCF7" w14:textId="77777777" w:rsidR="002B3B35" w:rsidRDefault="001F7650" w:rsidP="00F15943">
      <w:pPr>
        <w:snapToGrid w:val="0"/>
        <w:spacing w:line="240" w:lineRule="auto"/>
        <w:jc w:val="both"/>
        <w:rPr>
          <w:sz w:val="20"/>
          <w:lang w:val="en-US"/>
        </w:rPr>
      </w:pPr>
      <w:r w:rsidRPr="00EA4922">
        <w:rPr>
          <w:sz w:val="20"/>
          <w:lang w:val="en-US"/>
        </w:rPr>
        <w:t xml:space="preserve">In </w:t>
      </w:r>
      <w:r w:rsidR="000A59F6" w:rsidRPr="00EA4922">
        <w:rPr>
          <w:sz w:val="20"/>
          <w:lang w:val="en-US"/>
        </w:rPr>
        <w:t xml:space="preserve">Rel-15 </w:t>
      </w:r>
      <w:r w:rsidRPr="00EA4922">
        <w:rPr>
          <w:sz w:val="20"/>
          <w:lang w:val="en-US"/>
        </w:rPr>
        <w:t>LTE</w:t>
      </w:r>
      <w:r w:rsidR="006A25D8" w:rsidRPr="00EA4922">
        <w:rPr>
          <w:sz w:val="20"/>
          <w:lang w:val="en-US"/>
        </w:rPr>
        <w:t xml:space="preserve"> V2X</w:t>
      </w:r>
      <w:r w:rsidRPr="00EA4922">
        <w:rPr>
          <w:sz w:val="20"/>
          <w:lang w:val="en-US"/>
        </w:rPr>
        <w:t xml:space="preserve">, the requirements of </w:t>
      </w:r>
      <w:r w:rsidR="006A25D8" w:rsidRPr="00EA4922">
        <w:rPr>
          <w:sz w:val="20"/>
          <w:lang w:val="en-US"/>
        </w:rPr>
        <w:t xml:space="preserve">intra-band contiguous </w:t>
      </w:r>
      <w:r w:rsidRPr="00EA4922">
        <w:rPr>
          <w:sz w:val="20"/>
          <w:lang w:val="en-US"/>
        </w:rPr>
        <w:t>multi</w:t>
      </w:r>
      <w:r w:rsidR="0051240A" w:rsidRPr="00EA4922">
        <w:rPr>
          <w:sz w:val="20"/>
          <w:lang w:val="en-US"/>
        </w:rPr>
        <w:t>-</w:t>
      </w:r>
      <w:r w:rsidRPr="00EA4922">
        <w:rPr>
          <w:sz w:val="20"/>
          <w:lang w:val="en-US"/>
        </w:rPr>
        <w:t>carrier</w:t>
      </w:r>
      <w:r w:rsidR="006A25D8" w:rsidRPr="00EA4922">
        <w:rPr>
          <w:sz w:val="20"/>
          <w:lang w:val="en-US"/>
        </w:rPr>
        <w:t xml:space="preserve"> operation bandwidth class B and class C</w:t>
      </w:r>
      <w:r w:rsidRPr="00EA4922">
        <w:rPr>
          <w:sz w:val="20"/>
          <w:lang w:val="en-US"/>
        </w:rPr>
        <w:t xml:space="preserve"> were defined </w:t>
      </w:r>
      <w:r w:rsidR="006A25D8" w:rsidRPr="00EA4922">
        <w:rPr>
          <w:sz w:val="20"/>
          <w:lang w:val="en-US"/>
        </w:rPr>
        <w:t xml:space="preserve">in </w:t>
      </w:r>
      <w:r w:rsidRPr="00EA4922">
        <w:rPr>
          <w:sz w:val="20"/>
          <w:lang w:val="en-US"/>
        </w:rPr>
        <w:t>addition</w:t>
      </w:r>
      <w:r w:rsidR="006A25D8" w:rsidRPr="00EA4922">
        <w:rPr>
          <w:sz w:val="20"/>
          <w:lang w:val="en-US"/>
        </w:rPr>
        <w:t xml:space="preserve"> to the single carrier V2X case</w:t>
      </w:r>
      <w:r w:rsidR="0051240A" w:rsidRPr="00EA4922">
        <w:rPr>
          <w:sz w:val="20"/>
          <w:lang w:val="en-US"/>
        </w:rPr>
        <w:t xml:space="preserve">. </w:t>
      </w:r>
      <w:r w:rsidR="00181E2D" w:rsidRPr="00EA4922">
        <w:rPr>
          <w:rFonts w:hint="eastAsia"/>
          <w:sz w:val="20"/>
          <w:lang w:val="en-US"/>
        </w:rPr>
        <w:t>I</w:t>
      </w:r>
      <w:r w:rsidR="00181E2D" w:rsidRPr="00EA4922">
        <w:rPr>
          <w:sz w:val="20"/>
          <w:lang w:val="en-US"/>
        </w:rPr>
        <w:t xml:space="preserve">t is noted that it is a full set of Tx and Rx requirements in order to support the multi-carrier operation. </w:t>
      </w:r>
    </w:p>
    <w:p w14:paraId="5210AFB4" w14:textId="1D7424B4" w:rsidR="003A15FA" w:rsidRDefault="0051240A" w:rsidP="00F15943">
      <w:pPr>
        <w:snapToGrid w:val="0"/>
        <w:spacing w:line="240" w:lineRule="auto"/>
        <w:jc w:val="both"/>
        <w:rPr>
          <w:sz w:val="20"/>
          <w:lang w:val="en-US"/>
        </w:rPr>
      </w:pPr>
      <w:r w:rsidRPr="00EA4922">
        <w:rPr>
          <w:sz w:val="20"/>
          <w:lang w:val="en-US"/>
        </w:rPr>
        <w:t xml:space="preserve">Similarly, </w:t>
      </w:r>
      <w:r w:rsidR="00DE3BF3">
        <w:rPr>
          <w:sz w:val="20"/>
          <w:lang w:val="en-US"/>
        </w:rPr>
        <w:t xml:space="preserve">in Rel-18 </w:t>
      </w:r>
      <w:r w:rsidRPr="00EA4922">
        <w:rPr>
          <w:sz w:val="20"/>
          <w:lang w:val="en-US"/>
        </w:rPr>
        <w:t xml:space="preserve">the NR sidelink CA operation </w:t>
      </w:r>
      <w:r w:rsidR="00DE3BF3">
        <w:rPr>
          <w:sz w:val="20"/>
          <w:lang w:val="en-US"/>
        </w:rPr>
        <w:t>with PC3 was</w:t>
      </w:r>
      <w:r w:rsidRPr="00EA4922">
        <w:rPr>
          <w:sz w:val="20"/>
          <w:lang w:val="en-US"/>
        </w:rPr>
        <w:t xml:space="preserve"> specified in RAN4, another set of requirements </w:t>
      </w:r>
      <w:r w:rsidR="00DE3BF3">
        <w:rPr>
          <w:sz w:val="20"/>
          <w:lang w:val="en-US"/>
        </w:rPr>
        <w:t>was</w:t>
      </w:r>
      <w:r w:rsidRPr="00EA4922">
        <w:rPr>
          <w:sz w:val="20"/>
          <w:lang w:val="en-US"/>
        </w:rPr>
        <w:t xml:space="preserve"> defined</w:t>
      </w:r>
      <w:r w:rsidR="006A25D8" w:rsidRPr="00EA4922">
        <w:rPr>
          <w:sz w:val="20"/>
          <w:lang w:val="en-US"/>
        </w:rPr>
        <w:t xml:space="preserve"> in addition to that of Rel-16/17 V2X/Sidelink</w:t>
      </w:r>
      <w:r w:rsidRPr="00EA4922">
        <w:rPr>
          <w:sz w:val="20"/>
          <w:lang w:val="en-US"/>
        </w:rPr>
        <w:t xml:space="preserve">. </w:t>
      </w:r>
    </w:p>
    <w:p w14:paraId="0020BE7E" w14:textId="16C7179E" w:rsidR="003A15FA" w:rsidRPr="003A15FA" w:rsidRDefault="000A59F6" w:rsidP="005A6A77">
      <w:pPr>
        <w:snapToGrid w:val="0"/>
        <w:spacing w:after="0" w:line="240" w:lineRule="auto"/>
        <w:jc w:val="both"/>
        <w:rPr>
          <w:sz w:val="20"/>
        </w:rPr>
      </w:pPr>
      <w:r w:rsidRPr="00EA4922">
        <w:rPr>
          <w:sz w:val="20"/>
          <w:lang w:val="en-US"/>
        </w:rPr>
        <w:t xml:space="preserve">In the </w:t>
      </w:r>
      <w:r w:rsidR="00DE3BF3">
        <w:rPr>
          <w:sz w:val="20"/>
          <w:lang w:val="en-US"/>
        </w:rPr>
        <w:t>WID for sidelink CA,</w:t>
      </w:r>
      <w:r w:rsidRPr="00EA4922">
        <w:rPr>
          <w:sz w:val="20"/>
          <w:lang w:val="en-US"/>
        </w:rPr>
        <w:t xml:space="preserve"> intra-band </w:t>
      </w:r>
      <w:r w:rsidR="004022FB">
        <w:rPr>
          <w:sz w:val="20"/>
          <w:lang w:val="en-US"/>
        </w:rPr>
        <w:t>non-</w:t>
      </w:r>
      <w:r w:rsidRPr="00EA4922">
        <w:rPr>
          <w:sz w:val="20"/>
          <w:lang w:val="en-US"/>
        </w:rPr>
        <w:t>contiguous CA</w:t>
      </w:r>
      <w:r w:rsidR="00DE3BF3">
        <w:rPr>
          <w:sz w:val="20"/>
          <w:lang w:val="en-US"/>
        </w:rPr>
        <w:t xml:space="preserve"> with</w:t>
      </w:r>
      <w:r w:rsidR="004022FB">
        <w:rPr>
          <w:sz w:val="20"/>
          <w:lang w:val="en-US"/>
        </w:rPr>
        <w:t xml:space="preserve"> PC3 and</w:t>
      </w:r>
      <w:r w:rsidR="00DE3BF3">
        <w:rPr>
          <w:sz w:val="20"/>
          <w:lang w:val="en-US"/>
        </w:rPr>
        <w:t xml:space="preserve"> PC2</w:t>
      </w:r>
      <w:r w:rsidRPr="00EA4922">
        <w:rPr>
          <w:sz w:val="20"/>
          <w:lang w:val="en-US"/>
        </w:rPr>
        <w:t xml:space="preserve"> is to be considered.</w:t>
      </w:r>
      <w:r w:rsidR="00BB5404" w:rsidRPr="00EA4922">
        <w:rPr>
          <w:sz w:val="20"/>
          <w:lang w:val="en-US"/>
        </w:rPr>
        <w:t xml:space="preserve"> </w:t>
      </w:r>
      <w:r w:rsidR="00F15943">
        <w:rPr>
          <w:sz w:val="20"/>
        </w:rPr>
        <w:t xml:space="preserve">The work in Rel-19 would </w:t>
      </w:r>
      <w:r w:rsidR="00F15943" w:rsidRPr="003A15FA">
        <w:rPr>
          <w:sz w:val="20"/>
        </w:rPr>
        <w:t xml:space="preserve">include at least </w:t>
      </w:r>
    </w:p>
    <w:p w14:paraId="4F252D62" w14:textId="50FAF833" w:rsidR="00E72047" w:rsidRPr="00E72047" w:rsidRDefault="003A15FA" w:rsidP="002B3B35">
      <w:pPr>
        <w:pStyle w:val="aff6"/>
        <w:numPr>
          <w:ilvl w:val="0"/>
          <w:numId w:val="69"/>
        </w:numPr>
        <w:snapToGrid w:val="0"/>
        <w:spacing w:line="240" w:lineRule="auto"/>
        <w:ind w:firstLineChars="0"/>
        <w:rPr>
          <w:rFonts w:ascii="Times New Roman" w:hAnsi="Times New Roman"/>
          <w:sz w:val="20"/>
          <w:lang w:val="en-GB"/>
        </w:rPr>
      </w:pPr>
      <w:r w:rsidRPr="003A15FA">
        <w:rPr>
          <w:rFonts w:ascii="Times New Roman" w:hAnsi="Times New Roman"/>
          <w:sz w:val="20"/>
        </w:rPr>
        <w:t>O</w:t>
      </w:r>
      <w:r w:rsidR="00F15943" w:rsidRPr="003A15FA">
        <w:rPr>
          <w:rFonts w:ascii="Times New Roman" w:hAnsi="Times New Roman"/>
          <w:sz w:val="20"/>
        </w:rPr>
        <w:t>perating bands n47</w:t>
      </w:r>
      <w:r w:rsidR="002B3B35">
        <w:rPr>
          <w:rFonts w:ascii="Times New Roman" w:hAnsi="Times New Roman"/>
          <w:sz w:val="20"/>
        </w:rPr>
        <w:t xml:space="preserve"> for </w:t>
      </w:r>
      <w:r w:rsidR="002B3B35" w:rsidRPr="002B3B35">
        <w:rPr>
          <w:rFonts w:ascii="Times New Roman" w:hAnsi="Times New Roman"/>
          <w:sz w:val="20"/>
        </w:rPr>
        <w:t>intra-band non-contiguous sidelink CA</w:t>
      </w:r>
    </w:p>
    <w:p w14:paraId="01CDB839" w14:textId="17E5F202" w:rsidR="003A15FA" w:rsidRPr="003A15FA" w:rsidRDefault="002B3B35" w:rsidP="003A15FA">
      <w:pPr>
        <w:pStyle w:val="aff6"/>
        <w:numPr>
          <w:ilvl w:val="0"/>
          <w:numId w:val="69"/>
        </w:numPr>
        <w:snapToGrid w:val="0"/>
        <w:spacing w:line="240" w:lineRule="auto"/>
        <w:ind w:firstLineChars="0"/>
        <w:rPr>
          <w:rFonts w:ascii="Times New Roman" w:hAnsi="Times New Roman"/>
          <w:sz w:val="20"/>
          <w:lang w:val="en-GB"/>
        </w:rPr>
      </w:pPr>
      <w:r>
        <w:rPr>
          <w:rFonts w:ascii="Times New Roman" w:hAnsi="Times New Roman"/>
          <w:sz w:val="20"/>
        </w:rPr>
        <w:t>B</w:t>
      </w:r>
      <w:r w:rsidRPr="003A15FA">
        <w:rPr>
          <w:rFonts w:ascii="Times New Roman" w:hAnsi="Times New Roman"/>
          <w:sz w:val="20"/>
        </w:rPr>
        <w:t xml:space="preserve">and combination(s) </w:t>
      </w:r>
      <w:r>
        <w:rPr>
          <w:rFonts w:ascii="Times New Roman" w:hAnsi="Times New Roman"/>
          <w:sz w:val="20"/>
        </w:rPr>
        <w:t>for i</w:t>
      </w:r>
      <w:r w:rsidR="00E72047">
        <w:rPr>
          <w:rFonts w:ascii="Times New Roman" w:hAnsi="Times New Roman"/>
          <w:sz w:val="20"/>
        </w:rPr>
        <w:t xml:space="preserve">ntra-band non-contiguous SL CA </w:t>
      </w:r>
    </w:p>
    <w:p w14:paraId="6609443D" w14:textId="37A9CAAF" w:rsidR="00E72047" w:rsidRPr="00E72047" w:rsidRDefault="002B3B35" w:rsidP="003A15FA">
      <w:pPr>
        <w:pStyle w:val="aff6"/>
        <w:numPr>
          <w:ilvl w:val="0"/>
          <w:numId w:val="69"/>
        </w:numPr>
        <w:snapToGrid w:val="0"/>
        <w:spacing w:line="240" w:lineRule="auto"/>
        <w:ind w:firstLineChars="0"/>
        <w:rPr>
          <w:rFonts w:ascii="Times New Roman" w:hAnsi="Times New Roman"/>
          <w:sz w:val="20"/>
          <w:lang w:val="en-GB"/>
        </w:rPr>
      </w:pPr>
      <w:r>
        <w:rPr>
          <w:rFonts w:ascii="Times New Roman" w:hAnsi="Times New Roman"/>
          <w:sz w:val="20"/>
        </w:rPr>
        <w:t>C</w:t>
      </w:r>
      <w:r w:rsidRPr="003A15FA">
        <w:rPr>
          <w:rFonts w:ascii="Times New Roman" w:hAnsi="Times New Roman"/>
          <w:sz w:val="20"/>
        </w:rPr>
        <w:t>onfigurations</w:t>
      </w:r>
      <w:r>
        <w:rPr>
          <w:rFonts w:ascii="Times New Roman" w:hAnsi="Times New Roman"/>
          <w:sz w:val="20"/>
        </w:rPr>
        <w:t xml:space="preserve"> and BCS for i</w:t>
      </w:r>
      <w:r w:rsidR="00E72047">
        <w:rPr>
          <w:rFonts w:ascii="Times New Roman" w:hAnsi="Times New Roman"/>
          <w:sz w:val="20"/>
        </w:rPr>
        <w:t xml:space="preserve">ntra-band non-contiguous SL CA </w:t>
      </w:r>
    </w:p>
    <w:p w14:paraId="6946587E" w14:textId="77777777" w:rsidR="00E72047" w:rsidRPr="00E72047" w:rsidRDefault="00F15943" w:rsidP="003A15FA">
      <w:pPr>
        <w:pStyle w:val="aff6"/>
        <w:numPr>
          <w:ilvl w:val="0"/>
          <w:numId w:val="69"/>
        </w:numPr>
        <w:snapToGrid w:val="0"/>
        <w:spacing w:line="240" w:lineRule="auto"/>
        <w:ind w:firstLineChars="0"/>
        <w:rPr>
          <w:rFonts w:ascii="Times New Roman" w:hAnsi="Times New Roman"/>
          <w:sz w:val="20"/>
          <w:lang w:val="en-GB"/>
        </w:rPr>
      </w:pPr>
      <w:r w:rsidRPr="003A15FA">
        <w:rPr>
          <w:rFonts w:ascii="Times New Roman" w:hAnsi="Times New Roman"/>
          <w:sz w:val="20"/>
        </w:rPr>
        <w:t xml:space="preserve">Tx requirements mainly on </w:t>
      </w:r>
    </w:p>
    <w:p w14:paraId="26267421" w14:textId="77777777" w:rsidR="00E72047" w:rsidRPr="00E72047" w:rsidRDefault="00E72047" w:rsidP="00E72047">
      <w:pPr>
        <w:pStyle w:val="aff6"/>
        <w:numPr>
          <w:ilvl w:val="1"/>
          <w:numId w:val="69"/>
        </w:numPr>
        <w:snapToGrid w:val="0"/>
        <w:spacing w:line="240" w:lineRule="auto"/>
        <w:ind w:firstLineChars="0"/>
        <w:rPr>
          <w:rFonts w:ascii="Times New Roman" w:hAnsi="Times New Roman"/>
          <w:sz w:val="20"/>
          <w:lang w:val="en-GB"/>
        </w:rPr>
      </w:pPr>
      <w:r>
        <w:rPr>
          <w:rFonts w:ascii="Times New Roman" w:hAnsi="Times New Roman"/>
          <w:sz w:val="20"/>
        </w:rPr>
        <w:t>M</w:t>
      </w:r>
      <w:r w:rsidR="00F15943" w:rsidRPr="003A15FA">
        <w:rPr>
          <w:rFonts w:ascii="Times New Roman" w:hAnsi="Times New Roman"/>
          <w:sz w:val="20"/>
        </w:rPr>
        <w:t xml:space="preserve">aximum output power </w:t>
      </w:r>
    </w:p>
    <w:p w14:paraId="4172C1E5" w14:textId="77777777" w:rsidR="00E72047" w:rsidRPr="00E72047" w:rsidRDefault="00F15943" w:rsidP="00E72047">
      <w:pPr>
        <w:pStyle w:val="aff6"/>
        <w:numPr>
          <w:ilvl w:val="1"/>
          <w:numId w:val="69"/>
        </w:numPr>
        <w:snapToGrid w:val="0"/>
        <w:spacing w:line="240" w:lineRule="auto"/>
        <w:ind w:firstLineChars="0"/>
        <w:rPr>
          <w:rFonts w:ascii="Times New Roman" w:hAnsi="Times New Roman"/>
          <w:sz w:val="20"/>
          <w:lang w:val="en-GB"/>
        </w:rPr>
      </w:pPr>
      <w:r w:rsidRPr="003A15FA">
        <w:rPr>
          <w:rFonts w:ascii="Times New Roman" w:hAnsi="Times New Roman"/>
          <w:sz w:val="20"/>
        </w:rPr>
        <w:t>MPR for PC2 and PC3</w:t>
      </w:r>
    </w:p>
    <w:p w14:paraId="1B6F05B2" w14:textId="6CF72771" w:rsidR="00BB5404" w:rsidRPr="006A2E8F" w:rsidRDefault="00E72047" w:rsidP="00E72047">
      <w:pPr>
        <w:pStyle w:val="aff6"/>
        <w:numPr>
          <w:ilvl w:val="1"/>
          <w:numId w:val="69"/>
        </w:numPr>
        <w:snapToGrid w:val="0"/>
        <w:spacing w:line="240" w:lineRule="auto"/>
        <w:ind w:firstLineChars="0"/>
        <w:rPr>
          <w:rFonts w:ascii="Times New Roman" w:hAnsi="Times New Roman"/>
          <w:sz w:val="20"/>
          <w:lang w:val="en-GB"/>
        </w:rPr>
      </w:pPr>
      <w:r>
        <w:rPr>
          <w:rFonts w:ascii="Times New Roman" w:hAnsi="Times New Roman"/>
          <w:sz w:val="20"/>
          <w:lang w:val="en-US"/>
        </w:rPr>
        <w:t>C</w:t>
      </w:r>
      <w:r w:rsidRPr="00E72047">
        <w:rPr>
          <w:rFonts w:ascii="Times New Roman" w:hAnsi="Times New Roman"/>
          <w:sz w:val="20"/>
          <w:lang w:val="en-US"/>
        </w:rPr>
        <w:t>onfigured output power</w:t>
      </w:r>
    </w:p>
    <w:p w14:paraId="6D983BEA" w14:textId="3EC38849" w:rsidR="006A2E8F" w:rsidRDefault="006A2E8F" w:rsidP="006A2E8F">
      <w:pPr>
        <w:pStyle w:val="aff6"/>
        <w:numPr>
          <w:ilvl w:val="1"/>
          <w:numId w:val="69"/>
        </w:numPr>
        <w:snapToGrid w:val="0"/>
        <w:spacing w:line="240" w:lineRule="auto"/>
        <w:ind w:firstLineChars="0"/>
        <w:rPr>
          <w:rFonts w:ascii="Times New Roman" w:hAnsi="Times New Roman"/>
          <w:sz w:val="20"/>
          <w:lang w:val="en-GB"/>
        </w:rPr>
      </w:pPr>
      <w:r w:rsidRPr="006A2E8F">
        <w:rPr>
          <w:rFonts w:ascii="Times New Roman" w:hAnsi="Times New Roman"/>
          <w:sz w:val="20"/>
          <w:lang w:val="en-GB"/>
        </w:rPr>
        <w:t>Update output power dynamic, transmit signal quality, out of band emission, spurious emissions</w:t>
      </w:r>
    </w:p>
    <w:p w14:paraId="7B8DFCAD" w14:textId="292C35C4" w:rsidR="006A2E8F" w:rsidRDefault="006A2E8F" w:rsidP="006A2E8F">
      <w:pPr>
        <w:pStyle w:val="aff6"/>
        <w:numPr>
          <w:ilvl w:val="0"/>
          <w:numId w:val="69"/>
        </w:numPr>
        <w:ind w:firstLineChars="0"/>
        <w:rPr>
          <w:rFonts w:ascii="Times New Roman" w:hAnsi="Times New Roman"/>
          <w:sz w:val="20"/>
          <w:lang w:val="en-GB"/>
        </w:rPr>
      </w:pPr>
      <w:r>
        <w:rPr>
          <w:rFonts w:ascii="Times New Roman" w:hAnsi="Times New Roman"/>
          <w:sz w:val="20"/>
          <w:lang w:val="en-GB"/>
        </w:rPr>
        <w:t>R</w:t>
      </w:r>
      <w:r w:rsidRPr="006A2E8F">
        <w:rPr>
          <w:rFonts w:ascii="Times New Roman" w:hAnsi="Times New Roman"/>
          <w:sz w:val="20"/>
          <w:lang w:val="en-GB"/>
        </w:rPr>
        <w:t xml:space="preserve">x requirements mainly on </w:t>
      </w:r>
    </w:p>
    <w:p w14:paraId="3F209819" w14:textId="1C11E871" w:rsidR="006A2E8F" w:rsidRPr="006A2E8F" w:rsidRDefault="006A2E8F" w:rsidP="006A2E8F">
      <w:pPr>
        <w:pStyle w:val="aff6"/>
        <w:numPr>
          <w:ilvl w:val="1"/>
          <w:numId w:val="69"/>
        </w:numPr>
        <w:ind w:firstLineChars="0"/>
        <w:rPr>
          <w:rFonts w:ascii="Times New Roman" w:hAnsi="Times New Roman"/>
          <w:sz w:val="20"/>
          <w:lang w:val="en-GB"/>
        </w:rPr>
      </w:pPr>
      <w:r w:rsidRPr="006A2E8F">
        <w:rPr>
          <w:rFonts w:ascii="Times New Roman" w:hAnsi="Times New Roman"/>
          <w:sz w:val="20"/>
          <w:lang w:val="en-GB"/>
        </w:rPr>
        <w:t>REFSENS</w:t>
      </w:r>
    </w:p>
    <w:p w14:paraId="6077C4EE" w14:textId="57AA4326" w:rsidR="006A2E8F" w:rsidRPr="006A2E8F" w:rsidRDefault="006A2E8F" w:rsidP="006A2E8F">
      <w:pPr>
        <w:pStyle w:val="aff6"/>
        <w:numPr>
          <w:ilvl w:val="1"/>
          <w:numId w:val="69"/>
        </w:numPr>
        <w:ind w:firstLineChars="0"/>
        <w:rPr>
          <w:rFonts w:ascii="Times New Roman" w:hAnsi="Times New Roman"/>
          <w:sz w:val="20"/>
          <w:lang w:val="en-GB"/>
        </w:rPr>
      </w:pPr>
      <w:r w:rsidRPr="006A2E8F">
        <w:rPr>
          <w:rFonts w:ascii="Times New Roman" w:hAnsi="Times New Roman"/>
          <w:sz w:val="20"/>
          <w:lang w:val="en-GB"/>
        </w:rPr>
        <w:t>Maximum input level,</w:t>
      </w:r>
    </w:p>
    <w:p w14:paraId="2017587A" w14:textId="6DCAD419" w:rsidR="006A2E8F" w:rsidRPr="006A2E8F" w:rsidRDefault="006A2E8F" w:rsidP="006A2E8F">
      <w:pPr>
        <w:pStyle w:val="aff6"/>
        <w:numPr>
          <w:ilvl w:val="1"/>
          <w:numId w:val="69"/>
        </w:numPr>
        <w:ind w:firstLineChars="0"/>
        <w:rPr>
          <w:rFonts w:ascii="Times New Roman" w:hAnsi="Times New Roman"/>
          <w:sz w:val="20"/>
          <w:lang w:val="en-GB"/>
        </w:rPr>
      </w:pPr>
      <w:r w:rsidRPr="006A2E8F">
        <w:rPr>
          <w:rFonts w:ascii="Times New Roman" w:hAnsi="Times New Roman"/>
          <w:sz w:val="20"/>
          <w:lang w:val="en-GB"/>
        </w:rPr>
        <w:t>ACS locking</w:t>
      </w:r>
    </w:p>
    <w:p w14:paraId="185AD78E" w14:textId="7A2F9B50" w:rsidR="005A6A77" w:rsidRPr="005A6A77" w:rsidRDefault="005A6A77" w:rsidP="005A6A77">
      <w:pPr>
        <w:pStyle w:val="ad"/>
        <w:snapToGrid w:val="0"/>
        <w:spacing w:before="0" w:after="0" w:line="240" w:lineRule="auto"/>
        <w:rPr>
          <w:i/>
          <w:sz w:val="20"/>
        </w:rPr>
      </w:pPr>
      <w:bookmarkStart w:id="3" w:name="_Ref162972307"/>
      <w:r w:rsidRPr="005A6A77">
        <w:rPr>
          <w:i/>
        </w:rPr>
        <w:t xml:space="preserve">Proposal </w:t>
      </w:r>
      <w:r w:rsidRPr="005A6A77">
        <w:rPr>
          <w:i/>
        </w:rPr>
        <w:fldChar w:fldCharType="begin"/>
      </w:r>
      <w:r w:rsidRPr="005A6A77">
        <w:rPr>
          <w:i/>
        </w:rPr>
        <w:instrText xml:space="preserve"> SEQ Proposal \* ARABIC </w:instrText>
      </w:r>
      <w:r w:rsidRPr="005A6A77">
        <w:rPr>
          <w:i/>
        </w:rPr>
        <w:fldChar w:fldCharType="separate"/>
      </w:r>
      <w:r w:rsidR="00EB1439">
        <w:rPr>
          <w:i/>
          <w:noProof/>
        </w:rPr>
        <w:t>1</w:t>
      </w:r>
      <w:r w:rsidRPr="005A6A77">
        <w:rPr>
          <w:i/>
        </w:rPr>
        <w:fldChar w:fldCharType="end"/>
      </w:r>
      <w:r w:rsidRPr="005A6A77">
        <w:rPr>
          <w:i/>
        </w:rPr>
        <w:t xml:space="preserve">: </w:t>
      </w:r>
      <w:r w:rsidRPr="005A6A77">
        <w:rPr>
          <w:i/>
          <w:sz w:val="20"/>
        </w:rPr>
        <w:t>The work in Rel-19 NR sidelink intra-band non-contiguous CA with power class 3 and power class 2 would include at least</w:t>
      </w:r>
      <w:bookmarkEnd w:id="3"/>
    </w:p>
    <w:p w14:paraId="224C150A" w14:textId="77777777" w:rsidR="005A6A77" w:rsidRPr="005A6A77" w:rsidRDefault="005A6A77" w:rsidP="005A6A77">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Operating bands n47 for intra-band non-contiguous sidelink CA</w:t>
      </w:r>
    </w:p>
    <w:p w14:paraId="5BCFD3E2" w14:textId="77777777" w:rsidR="005A6A77" w:rsidRPr="005A6A77" w:rsidRDefault="005A6A77" w:rsidP="005A6A77">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lastRenderedPageBreak/>
        <w:t xml:space="preserve">Band combination(s) for intra-band non-contiguous SL CA </w:t>
      </w:r>
    </w:p>
    <w:p w14:paraId="4F00683B" w14:textId="77777777" w:rsidR="005A6A77" w:rsidRPr="005A6A77" w:rsidRDefault="005A6A77" w:rsidP="005A6A77">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 xml:space="preserve">Configurations and BCS for intra-band non-contiguous SL CA </w:t>
      </w:r>
    </w:p>
    <w:p w14:paraId="5DAB852F" w14:textId="77777777" w:rsidR="005A6A77" w:rsidRPr="005A6A77" w:rsidRDefault="005A6A77" w:rsidP="005A6A77">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 xml:space="preserve">Tx requirements mainly on </w:t>
      </w:r>
    </w:p>
    <w:p w14:paraId="18214F8B" w14:textId="77777777" w:rsidR="005A6A77" w:rsidRPr="005A6A77" w:rsidRDefault="005A6A77" w:rsidP="005A6A77">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 xml:space="preserve">Maximum output power </w:t>
      </w:r>
    </w:p>
    <w:p w14:paraId="50F53773" w14:textId="77777777" w:rsidR="005A6A77" w:rsidRPr="005A6A77" w:rsidRDefault="005A6A77" w:rsidP="005A6A77">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MPR for PC2 and PC3</w:t>
      </w:r>
    </w:p>
    <w:p w14:paraId="6A5D1A34" w14:textId="77777777" w:rsidR="005A6A77" w:rsidRPr="005A6A77" w:rsidRDefault="005A6A77" w:rsidP="005A6A77">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US"/>
        </w:rPr>
        <w:t>Configured output power</w:t>
      </w:r>
    </w:p>
    <w:p w14:paraId="10C33E85" w14:textId="77777777" w:rsidR="005A6A77" w:rsidRPr="005A6A77" w:rsidRDefault="005A6A77" w:rsidP="005A6A77">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GB"/>
        </w:rPr>
        <w:t>Update output power dynamic, transmit signal quality, out of band emission, spurious emissions</w:t>
      </w:r>
    </w:p>
    <w:p w14:paraId="2D4230EF" w14:textId="77777777" w:rsidR="005A6A77" w:rsidRPr="005A6A77" w:rsidRDefault="005A6A77" w:rsidP="005A6A77">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GB"/>
        </w:rPr>
        <w:t xml:space="preserve">Rx requirements mainly on </w:t>
      </w:r>
    </w:p>
    <w:p w14:paraId="5F5C18A3" w14:textId="77777777" w:rsidR="005A6A77" w:rsidRPr="005A6A77" w:rsidRDefault="005A6A77" w:rsidP="005A6A77">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GB"/>
        </w:rPr>
        <w:t>REFSENS</w:t>
      </w:r>
    </w:p>
    <w:p w14:paraId="6B2A20EB" w14:textId="77777777" w:rsidR="005A6A77" w:rsidRPr="005A6A77" w:rsidRDefault="005A6A77" w:rsidP="005A6A77">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GB"/>
        </w:rPr>
        <w:t>Maximum input level,</w:t>
      </w:r>
    </w:p>
    <w:p w14:paraId="4A3DD34D" w14:textId="77777777" w:rsidR="005A6A77" w:rsidRPr="005A6A77" w:rsidRDefault="005A6A77" w:rsidP="005A6A77">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GB"/>
        </w:rPr>
        <w:t>ACS locking</w:t>
      </w:r>
    </w:p>
    <w:p w14:paraId="52BA3EC1" w14:textId="77777777" w:rsidR="005A6A77" w:rsidRDefault="005A6A77" w:rsidP="005A6A77">
      <w:pPr>
        <w:snapToGrid w:val="0"/>
        <w:spacing w:before="120" w:after="120" w:line="240" w:lineRule="auto"/>
        <w:rPr>
          <w:sz w:val="20"/>
          <w:lang w:val="en-US"/>
        </w:rPr>
      </w:pPr>
      <w:r>
        <w:rPr>
          <w:sz w:val="20"/>
          <w:lang w:val="en-US"/>
        </w:rPr>
        <w:t xml:space="preserve">In Rel-18 intra-band contiguous SL CA with PC3, the simulation assumptions were agreed to reuse the simulation assumptions in TR38.785 (Rel-17 enhanced NR sidelink). Other constraints for PSCCH/PSSCH/PSFCH/S-SSB can be assumed roughly based on the agreement in Rel-18. </w:t>
      </w:r>
    </w:p>
    <w:p w14:paraId="708B0C36" w14:textId="2CC5CD43" w:rsidR="00BA2190" w:rsidRDefault="00103AE6" w:rsidP="005A6A77">
      <w:pPr>
        <w:snapToGrid w:val="0"/>
        <w:spacing w:before="120" w:after="120" w:line="240" w:lineRule="auto"/>
        <w:rPr>
          <w:sz w:val="20"/>
          <w:lang w:val="en-US"/>
        </w:rPr>
      </w:pPr>
      <w:r>
        <w:rPr>
          <w:sz w:val="20"/>
          <w:lang w:val="en-US"/>
        </w:rPr>
        <w:t xml:space="preserve">In Rel-19 intra-band non-contiguous SL CA with PC3 and PC2, </w:t>
      </w:r>
      <w:r w:rsidR="00BA2190">
        <w:rPr>
          <w:sz w:val="20"/>
          <w:lang w:val="en-US"/>
        </w:rPr>
        <w:t xml:space="preserve">considering the narrow bandwidth in ITS band n47, dualPA may not be required. Indeed, the specified bandwidth combination(s) is(are) up to operators’ demand. 10MHz + 10MHz is with much possibility. </w:t>
      </w:r>
      <w:r w:rsidR="00EB1439">
        <w:rPr>
          <w:sz w:val="20"/>
          <w:lang w:val="en-US"/>
        </w:rPr>
        <w:t xml:space="preserve">The maximum bandwidth combination would not be wider than 30MHz + 30MHz. </w:t>
      </w:r>
      <w:r w:rsidR="00BA2190">
        <w:rPr>
          <w:sz w:val="20"/>
          <w:lang w:val="en-US"/>
        </w:rPr>
        <w:t>Therefore, single PA structure is sufficient.</w:t>
      </w:r>
    </w:p>
    <w:p w14:paraId="030FCD0A" w14:textId="5BE7F32B" w:rsidR="00EB1439" w:rsidRPr="00EB1439" w:rsidRDefault="00EB1439" w:rsidP="00EB1439">
      <w:pPr>
        <w:pStyle w:val="ad"/>
        <w:rPr>
          <w:i/>
          <w:sz w:val="18"/>
          <w:lang w:val="en-US"/>
        </w:rPr>
      </w:pPr>
      <w:bookmarkStart w:id="4" w:name="_Ref162972309"/>
      <w:r w:rsidRPr="00EB1439">
        <w:rPr>
          <w:i/>
          <w:sz w:val="20"/>
        </w:rPr>
        <w:t xml:space="preserve">Proposal </w:t>
      </w:r>
      <w:r w:rsidRPr="00EB1439">
        <w:rPr>
          <w:i/>
          <w:sz w:val="20"/>
        </w:rPr>
        <w:fldChar w:fldCharType="begin"/>
      </w:r>
      <w:r w:rsidRPr="00EB1439">
        <w:rPr>
          <w:i/>
          <w:sz w:val="20"/>
        </w:rPr>
        <w:instrText xml:space="preserve"> SEQ Proposal \* ARABIC </w:instrText>
      </w:r>
      <w:r w:rsidRPr="00EB1439">
        <w:rPr>
          <w:i/>
          <w:sz w:val="20"/>
        </w:rPr>
        <w:fldChar w:fldCharType="separate"/>
      </w:r>
      <w:r w:rsidRPr="00EB1439">
        <w:rPr>
          <w:i/>
          <w:noProof/>
          <w:sz w:val="20"/>
        </w:rPr>
        <w:t>2</w:t>
      </w:r>
      <w:r w:rsidRPr="00EB1439">
        <w:rPr>
          <w:i/>
          <w:sz w:val="20"/>
        </w:rPr>
        <w:fldChar w:fldCharType="end"/>
      </w:r>
      <w:r w:rsidRPr="00EB1439">
        <w:rPr>
          <w:i/>
          <w:sz w:val="20"/>
        </w:rPr>
        <w:t>: Single PA structure for intra-band non-contiguous SL CA is sufficient in Rel-19.</w:t>
      </w:r>
      <w:bookmarkEnd w:id="4"/>
    </w:p>
    <w:p w14:paraId="4C647B9A" w14:textId="480E2C97" w:rsidR="00103AE6" w:rsidRDefault="00B9662A" w:rsidP="005A6A77">
      <w:pPr>
        <w:snapToGrid w:val="0"/>
        <w:spacing w:before="120" w:after="120" w:line="240" w:lineRule="auto"/>
        <w:rPr>
          <w:sz w:val="20"/>
          <w:lang w:val="en-US"/>
        </w:rPr>
      </w:pPr>
      <w:r>
        <w:rPr>
          <w:sz w:val="20"/>
          <w:lang w:val="en-US"/>
        </w:rPr>
        <w:t>T</w:t>
      </w:r>
      <w:r w:rsidR="00103AE6">
        <w:rPr>
          <w:sz w:val="20"/>
          <w:lang w:val="en-US"/>
        </w:rPr>
        <w:t>he simulation assumptions can be based on intra-band contiguous SL CA in Rel-18, with minor revision as follows.</w:t>
      </w:r>
    </w:p>
    <w:p w14:paraId="4E06491B" w14:textId="7F9BD63A" w:rsidR="005A6A77" w:rsidRDefault="005A6A77" w:rsidP="005A6A77">
      <w:pPr>
        <w:pStyle w:val="ad"/>
        <w:keepNext/>
        <w:jc w:val="center"/>
        <w:rPr>
          <w:sz w:val="18"/>
        </w:rPr>
      </w:pPr>
      <w:r>
        <w:rPr>
          <w:sz w:val="18"/>
        </w:rPr>
        <w:t xml:space="preserve">Table </w:t>
      </w:r>
      <w:r>
        <w:rPr>
          <w:sz w:val="18"/>
        </w:rPr>
        <w:fldChar w:fldCharType="begin"/>
      </w:r>
      <w:r>
        <w:rPr>
          <w:sz w:val="18"/>
        </w:rPr>
        <w:instrText xml:space="preserve"> SEQ Table \* ARABIC </w:instrText>
      </w:r>
      <w:r>
        <w:rPr>
          <w:sz w:val="18"/>
        </w:rPr>
        <w:fldChar w:fldCharType="separate"/>
      </w:r>
      <w:r>
        <w:rPr>
          <w:noProof/>
          <w:sz w:val="18"/>
        </w:rPr>
        <w:t>1</w:t>
      </w:r>
      <w:r>
        <w:rPr>
          <w:sz w:val="18"/>
        </w:rPr>
        <w:fldChar w:fldCharType="end"/>
      </w:r>
      <w:r>
        <w:rPr>
          <w:sz w:val="18"/>
        </w:rPr>
        <w:t xml:space="preserve"> General simulation assumptions for intra-band </w:t>
      </w:r>
      <w:r w:rsidR="00103AE6">
        <w:rPr>
          <w:sz w:val="18"/>
        </w:rPr>
        <w:t>non-</w:t>
      </w:r>
      <w:r>
        <w:rPr>
          <w:sz w:val="18"/>
        </w:rPr>
        <w:t>contiguous SL CA with PC2</w:t>
      </w:r>
      <w:r w:rsidR="00103AE6">
        <w:rPr>
          <w:sz w:val="18"/>
        </w:rPr>
        <w:t>/PC3</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5A6A77" w14:paraId="546B6FA9" w14:textId="77777777" w:rsidTr="005A6A77">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622F663A" w14:textId="77777777" w:rsidR="005A6A77" w:rsidRDefault="005A6A77">
            <w:pPr>
              <w:keepNext/>
              <w:keepLines/>
              <w:snapToGrid w:val="0"/>
              <w:spacing w:after="0" w:line="240" w:lineRule="auto"/>
              <w:jc w:val="center"/>
              <w:rPr>
                <w:rFonts w:ascii="Arial" w:eastAsiaTheme="minorEastAsia" w:hAnsi="Arial" w:cs="Arial"/>
                <w:color w:val="000000"/>
                <w:sz w:val="18"/>
                <w:szCs w:val="18"/>
              </w:rPr>
            </w:pPr>
            <w:r>
              <w:rPr>
                <w:rFonts w:ascii="Arial" w:hAnsi="Arial" w:cs="Arial"/>
                <w:color w:val="000000"/>
                <w:sz w:val="18"/>
                <w:szCs w:val="18"/>
              </w:rPr>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4F719B9B"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5.</w:t>
            </w:r>
            <w:r>
              <w:rPr>
                <w:rFonts w:ascii="Arial" w:hAnsi="Arial" w:cs="Arial"/>
                <w:sz w:val="18"/>
                <w:szCs w:val="18"/>
              </w:rPr>
              <w:t>9</w:t>
            </w:r>
            <w:r>
              <w:rPr>
                <w:rFonts w:ascii="Arial" w:hAnsi="Arial" w:cs="Arial"/>
                <w:color w:val="000000"/>
                <w:sz w:val="18"/>
                <w:szCs w:val="18"/>
              </w:rPr>
              <w:t>GHz</w:t>
            </w:r>
          </w:p>
        </w:tc>
      </w:tr>
      <w:tr w:rsidR="005A6A77" w14:paraId="1B910959"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8A784E1"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0DA18774"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per CC: 10/20/30/40MHz</w:t>
            </w:r>
          </w:p>
          <w:p w14:paraId="08D62D35"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Aggregated CBW: Table 5.2.3-1 (up to 70MHz CBW)</w:t>
            </w:r>
          </w:p>
        </w:tc>
      </w:tr>
      <w:tr w:rsidR="005A6A77" w14:paraId="0A91D7AF"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6204C90"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4025F0C0" w14:textId="641432CB"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 xml:space="preserve">23dBm </w:t>
            </w:r>
            <w:r w:rsidR="00103AE6">
              <w:rPr>
                <w:rFonts w:ascii="Arial" w:hAnsi="Arial" w:cs="Arial"/>
                <w:color w:val="C00000"/>
                <w:sz w:val="18"/>
                <w:szCs w:val="18"/>
              </w:rPr>
              <w:t xml:space="preserve">and </w:t>
            </w:r>
            <w:r>
              <w:rPr>
                <w:rFonts w:ascii="Arial" w:hAnsi="Arial" w:cs="Arial"/>
                <w:color w:val="C00000"/>
                <w:sz w:val="18"/>
                <w:szCs w:val="18"/>
              </w:rPr>
              <w:t>26dBm</w:t>
            </w:r>
          </w:p>
        </w:tc>
      </w:tr>
      <w:tr w:rsidR="005A6A77" w14:paraId="06DB1774"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80C1790"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22F0B1A0"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15 kHz/30kHz/60kHz</w:t>
            </w:r>
          </w:p>
        </w:tc>
      </w:tr>
      <w:tr w:rsidR="005A6A77" w14:paraId="46EF0EAC"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E1F65D4"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359241B2"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QPSK/16QAM/64QAM/256QAM</w:t>
            </w:r>
          </w:p>
        </w:tc>
      </w:tr>
      <w:tr w:rsidR="005A6A77" w14:paraId="47099CC0"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C12C17C"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5695AC8E"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CP-OFDM</w:t>
            </w:r>
          </w:p>
        </w:tc>
      </w:tr>
      <w:tr w:rsidR="005A6A77" w14:paraId="7B82A4E7"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6CF516F"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6A73E770" w14:textId="629353F6" w:rsidR="005A6A77" w:rsidRDefault="005A6A77" w:rsidP="00103AE6">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 xml:space="preserve">34dBc </w:t>
            </w:r>
            <w:r w:rsidR="00103AE6">
              <w:rPr>
                <w:rFonts w:ascii="Arial" w:hAnsi="Arial" w:cs="Arial"/>
                <w:color w:val="C00000"/>
                <w:sz w:val="18"/>
                <w:szCs w:val="18"/>
              </w:rPr>
              <w:t xml:space="preserve">or </w:t>
            </w:r>
            <w:r>
              <w:rPr>
                <w:rFonts w:ascii="Arial" w:hAnsi="Arial" w:cs="Arial"/>
                <w:color w:val="C00000"/>
                <w:sz w:val="18"/>
                <w:szCs w:val="18"/>
              </w:rPr>
              <w:t>25dBc</w:t>
            </w:r>
          </w:p>
        </w:tc>
      </w:tr>
      <w:tr w:rsidR="005A6A77" w14:paraId="3D97F63E"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DFD1D5D"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525C64E8"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25dBc</w:t>
            </w:r>
          </w:p>
        </w:tc>
      </w:tr>
      <w:tr w:rsidR="005A6A77" w14:paraId="783F695B"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9CE79D3"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51244A33"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60dBc</w:t>
            </w:r>
          </w:p>
        </w:tc>
      </w:tr>
      <w:tr w:rsidR="005A6A77" w14:paraId="4E8995A6" w14:textId="77777777" w:rsidTr="005A6A77">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33B9B84D"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76E03FB4" w14:textId="77777777" w:rsidR="005A6A77" w:rsidRDefault="005A6A77">
            <w:pPr>
              <w:keepNext/>
              <w:keepLines/>
              <w:snapToGrid w:val="0"/>
              <w:spacing w:after="0" w:line="240" w:lineRule="auto"/>
              <w:rPr>
                <w:rFonts w:ascii="Arial" w:hAnsi="Arial" w:cs="Arial"/>
                <w:color w:val="000000"/>
                <w:sz w:val="18"/>
                <w:szCs w:val="18"/>
              </w:rPr>
            </w:pPr>
            <w:r>
              <w:rPr>
                <w:rFonts w:ascii="Arial" w:hAnsi="Arial" w:cs="Arial"/>
                <w:color w:val="000000"/>
                <w:sz w:val="18"/>
                <w:szCs w:val="18"/>
              </w:rPr>
              <w:t>PA calibrated to deliver 30dBc ACLR for a fully allocated RBs in 20MHz QPSK DFT- S-OFDM waveform at 1 dB MPR.</w:t>
            </w:r>
          </w:p>
          <w:p w14:paraId="13F8E583" w14:textId="77777777" w:rsidR="005A6A77" w:rsidRDefault="005A6A77">
            <w:pPr>
              <w:keepNext/>
              <w:keepLines/>
              <w:snapToGrid w:val="0"/>
              <w:spacing w:after="0" w:line="240" w:lineRule="auto"/>
              <w:rPr>
                <w:rFonts w:ascii="Arial" w:hAnsi="Arial" w:cs="Arial"/>
                <w:b/>
                <w:color w:val="000000"/>
                <w:sz w:val="18"/>
                <w:szCs w:val="18"/>
              </w:rPr>
            </w:pPr>
            <w:r>
              <w:rPr>
                <w:rFonts w:ascii="Arial" w:hAnsi="Arial" w:cs="Arial"/>
                <w:color w:val="000000"/>
                <w:sz w:val="18"/>
                <w:szCs w:val="18"/>
              </w:rPr>
              <w:t>This is based to share PA between LTE V2X and NR V2X at 5.9GHz as worst case.</w:t>
            </w:r>
          </w:p>
        </w:tc>
      </w:tr>
    </w:tbl>
    <w:p w14:paraId="0F3EF0F3" w14:textId="77777777" w:rsidR="005A6A77" w:rsidRDefault="005A6A77" w:rsidP="005A6A77">
      <w:pPr>
        <w:rPr>
          <w:sz w:val="20"/>
          <w:lang w:val="en-US"/>
        </w:rPr>
      </w:pPr>
    </w:p>
    <w:p w14:paraId="3EFC5262" w14:textId="25283453" w:rsidR="005A6A77" w:rsidRDefault="005A6A77" w:rsidP="005A6A77">
      <w:pPr>
        <w:pStyle w:val="ad"/>
        <w:snapToGrid w:val="0"/>
        <w:spacing w:line="240" w:lineRule="auto"/>
        <w:rPr>
          <w:i/>
          <w:sz w:val="20"/>
        </w:rPr>
      </w:pPr>
      <w:bookmarkStart w:id="5" w:name="_Ref162899317"/>
      <w:r>
        <w:rPr>
          <w:i/>
          <w:sz w:val="20"/>
        </w:rPr>
        <w:t xml:space="preserve">Proposal </w:t>
      </w:r>
      <w:r>
        <w:fldChar w:fldCharType="begin"/>
      </w:r>
      <w:r>
        <w:rPr>
          <w:i/>
          <w:sz w:val="20"/>
        </w:rPr>
        <w:instrText xml:space="preserve"> SEQ Proposal \* ARABIC </w:instrText>
      </w:r>
      <w:r>
        <w:fldChar w:fldCharType="separate"/>
      </w:r>
      <w:r w:rsidR="00EB1439">
        <w:rPr>
          <w:i/>
          <w:noProof/>
          <w:sz w:val="20"/>
        </w:rPr>
        <w:t>3</w:t>
      </w:r>
      <w:r>
        <w:fldChar w:fldCharType="end"/>
      </w:r>
      <w:r>
        <w:rPr>
          <w:i/>
          <w:sz w:val="20"/>
        </w:rPr>
        <w:t xml:space="preserve">: For the MPR evaluation of intra-band </w:t>
      </w:r>
      <w:r w:rsidR="00103AE6">
        <w:rPr>
          <w:i/>
          <w:sz w:val="20"/>
        </w:rPr>
        <w:t>non-</w:t>
      </w:r>
      <w:r>
        <w:rPr>
          <w:i/>
          <w:sz w:val="20"/>
        </w:rPr>
        <w:t>contiguous CA with PC2</w:t>
      </w:r>
      <w:r w:rsidR="00103AE6">
        <w:rPr>
          <w:i/>
          <w:sz w:val="20"/>
        </w:rPr>
        <w:t>/PC3</w:t>
      </w:r>
      <w:r>
        <w:rPr>
          <w:i/>
          <w:sz w:val="20"/>
        </w:rPr>
        <w:t>, the simulation assumptions as follows should be agreed</w:t>
      </w:r>
      <w:bookmarkEnd w:id="5"/>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5A6A77" w14:paraId="47E9E42E" w14:textId="77777777" w:rsidTr="005A6A77">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70F1498C" w14:textId="77777777" w:rsidR="005A6A77" w:rsidRDefault="005A6A77">
            <w:pPr>
              <w:keepNext/>
              <w:keepLines/>
              <w:snapToGrid w:val="0"/>
              <w:spacing w:after="0" w:line="240" w:lineRule="auto"/>
              <w:jc w:val="center"/>
              <w:rPr>
                <w:rFonts w:ascii="Arial" w:eastAsiaTheme="minorEastAsia" w:hAnsi="Arial" w:cs="Arial"/>
                <w:color w:val="000000"/>
                <w:sz w:val="18"/>
                <w:szCs w:val="18"/>
              </w:rPr>
            </w:pPr>
            <w:r>
              <w:rPr>
                <w:rFonts w:ascii="Arial" w:hAnsi="Arial" w:cs="Arial"/>
                <w:color w:val="000000"/>
                <w:sz w:val="18"/>
                <w:szCs w:val="18"/>
              </w:rPr>
              <w:lastRenderedPageBreak/>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739F78CA"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5.</w:t>
            </w:r>
            <w:r>
              <w:rPr>
                <w:rFonts w:ascii="Arial" w:hAnsi="Arial" w:cs="Arial"/>
                <w:sz w:val="18"/>
                <w:szCs w:val="18"/>
              </w:rPr>
              <w:t>9</w:t>
            </w:r>
            <w:r>
              <w:rPr>
                <w:rFonts w:ascii="Arial" w:hAnsi="Arial" w:cs="Arial"/>
                <w:color w:val="000000"/>
                <w:sz w:val="18"/>
                <w:szCs w:val="18"/>
              </w:rPr>
              <w:t>GHz</w:t>
            </w:r>
          </w:p>
        </w:tc>
      </w:tr>
      <w:tr w:rsidR="005A6A77" w14:paraId="46C5A893"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2E389DB"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1E2C8BE6"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per CC: 10/20/30/40MHz</w:t>
            </w:r>
          </w:p>
          <w:p w14:paraId="2DFFBB6A"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Aggregated CBW: Table 5.2.3-1 (up to 70MHz CBW)</w:t>
            </w:r>
          </w:p>
        </w:tc>
      </w:tr>
      <w:tr w:rsidR="005A6A77" w14:paraId="123A84D7"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7E0EBCA"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7AC27CCC" w14:textId="20ED78B4" w:rsidR="005A6A77" w:rsidRPr="00B9662A" w:rsidRDefault="00E61A08">
            <w:pPr>
              <w:keepNext/>
              <w:keepLines/>
              <w:snapToGrid w:val="0"/>
              <w:spacing w:after="0" w:line="240" w:lineRule="auto"/>
              <w:jc w:val="center"/>
              <w:rPr>
                <w:rFonts w:ascii="Arial" w:hAnsi="Arial" w:cs="Arial"/>
                <w:color w:val="000000" w:themeColor="text1"/>
                <w:sz w:val="18"/>
                <w:szCs w:val="18"/>
              </w:rPr>
            </w:pPr>
            <w:r w:rsidRPr="00B9662A">
              <w:rPr>
                <w:rFonts w:ascii="Arial" w:hAnsi="Arial" w:cs="Arial"/>
                <w:color w:val="000000" w:themeColor="text1"/>
                <w:sz w:val="18"/>
                <w:szCs w:val="18"/>
              </w:rPr>
              <w:t xml:space="preserve">23dBm and </w:t>
            </w:r>
            <w:r w:rsidR="005A6A77" w:rsidRPr="00B9662A">
              <w:rPr>
                <w:rFonts w:ascii="Arial" w:hAnsi="Arial" w:cs="Arial"/>
                <w:color w:val="000000" w:themeColor="text1"/>
                <w:sz w:val="18"/>
                <w:szCs w:val="18"/>
              </w:rPr>
              <w:t>26dBm</w:t>
            </w:r>
          </w:p>
        </w:tc>
      </w:tr>
      <w:tr w:rsidR="005A6A77" w14:paraId="45DCB81D"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A06E0C7"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24EA26BC" w14:textId="77777777" w:rsidR="005A6A77" w:rsidRPr="00B9662A" w:rsidRDefault="005A6A77">
            <w:pPr>
              <w:keepNext/>
              <w:keepLines/>
              <w:snapToGrid w:val="0"/>
              <w:spacing w:after="0" w:line="240" w:lineRule="auto"/>
              <w:jc w:val="center"/>
              <w:rPr>
                <w:rFonts w:ascii="Arial" w:hAnsi="Arial" w:cs="Arial"/>
                <w:color w:val="000000" w:themeColor="text1"/>
                <w:sz w:val="18"/>
                <w:szCs w:val="18"/>
              </w:rPr>
            </w:pPr>
            <w:r w:rsidRPr="00B9662A">
              <w:rPr>
                <w:rFonts w:ascii="Arial" w:hAnsi="Arial" w:cs="Arial"/>
                <w:color w:val="000000" w:themeColor="text1"/>
                <w:sz w:val="18"/>
                <w:szCs w:val="18"/>
              </w:rPr>
              <w:t>15 kHz/30kHz/60kHz</w:t>
            </w:r>
          </w:p>
        </w:tc>
      </w:tr>
      <w:tr w:rsidR="005A6A77" w14:paraId="64948C72"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F9004C1"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13134040" w14:textId="77777777" w:rsidR="005A6A77" w:rsidRPr="00B9662A" w:rsidRDefault="005A6A77">
            <w:pPr>
              <w:keepNext/>
              <w:keepLines/>
              <w:snapToGrid w:val="0"/>
              <w:spacing w:after="0" w:line="240" w:lineRule="auto"/>
              <w:jc w:val="center"/>
              <w:rPr>
                <w:rFonts w:ascii="Arial" w:hAnsi="Arial" w:cs="Arial"/>
                <w:color w:val="000000" w:themeColor="text1"/>
                <w:sz w:val="18"/>
                <w:szCs w:val="18"/>
              </w:rPr>
            </w:pPr>
            <w:r w:rsidRPr="00B9662A">
              <w:rPr>
                <w:rFonts w:ascii="Arial" w:hAnsi="Arial" w:cs="Arial"/>
                <w:color w:val="000000" w:themeColor="text1"/>
                <w:sz w:val="18"/>
                <w:szCs w:val="18"/>
              </w:rPr>
              <w:t>QPSK/16QAM/64QAM/256QAM</w:t>
            </w:r>
          </w:p>
        </w:tc>
      </w:tr>
      <w:tr w:rsidR="005A6A77" w14:paraId="349E75E6"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1DCF045"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03FA4E67" w14:textId="77777777" w:rsidR="005A6A77" w:rsidRPr="00B9662A" w:rsidRDefault="005A6A77">
            <w:pPr>
              <w:keepNext/>
              <w:keepLines/>
              <w:snapToGrid w:val="0"/>
              <w:spacing w:after="0" w:line="240" w:lineRule="auto"/>
              <w:jc w:val="center"/>
              <w:rPr>
                <w:rFonts w:ascii="Arial" w:hAnsi="Arial" w:cs="Arial"/>
                <w:color w:val="000000" w:themeColor="text1"/>
                <w:sz w:val="18"/>
                <w:szCs w:val="18"/>
              </w:rPr>
            </w:pPr>
            <w:r w:rsidRPr="00B9662A">
              <w:rPr>
                <w:rFonts w:ascii="Arial" w:hAnsi="Arial" w:cs="Arial"/>
                <w:color w:val="000000" w:themeColor="text1"/>
                <w:sz w:val="18"/>
                <w:szCs w:val="18"/>
              </w:rPr>
              <w:t>CP-OFDM</w:t>
            </w:r>
          </w:p>
        </w:tc>
      </w:tr>
      <w:tr w:rsidR="005A6A77" w14:paraId="088AF7F7"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E1DC009"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165CFE0D" w14:textId="57AEF368" w:rsidR="005A6A77" w:rsidRPr="00B9662A" w:rsidRDefault="000E0DF1">
            <w:pPr>
              <w:keepNext/>
              <w:keepLines/>
              <w:snapToGrid w:val="0"/>
              <w:spacing w:after="0" w:line="240" w:lineRule="auto"/>
              <w:jc w:val="center"/>
              <w:rPr>
                <w:rFonts w:ascii="Arial" w:hAnsi="Arial" w:cs="Arial"/>
                <w:color w:val="000000" w:themeColor="text1"/>
                <w:sz w:val="18"/>
                <w:szCs w:val="18"/>
              </w:rPr>
            </w:pPr>
            <w:r w:rsidRPr="00B9662A">
              <w:rPr>
                <w:rFonts w:ascii="Arial" w:hAnsi="Arial" w:cs="Arial"/>
                <w:color w:val="000000" w:themeColor="text1"/>
                <w:sz w:val="18"/>
                <w:szCs w:val="18"/>
              </w:rPr>
              <w:t xml:space="preserve">34dBc or </w:t>
            </w:r>
            <w:r w:rsidR="005A6A77" w:rsidRPr="00B9662A">
              <w:rPr>
                <w:rFonts w:ascii="Arial" w:hAnsi="Arial" w:cs="Arial"/>
                <w:color w:val="000000" w:themeColor="text1"/>
                <w:sz w:val="18"/>
                <w:szCs w:val="18"/>
              </w:rPr>
              <w:t>25dBc</w:t>
            </w:r>
          </w:p>
        </w:tc>
      </w:tr>
      <w:tr w:rsidR="005A6A77" w14:paraId="2141E06F"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6577DE5"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758598BF"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25dBc</w:t>
            </w:r>
          </w:p>
        </w:tc>
      </w:tr>
      <w:tr w:rsidR="005A6A77" w14:paraId="25CCCB5E" w14:textId="77777777" w:rsidTr="005A6A7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74BBE57"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2FD1FC67"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60dBc</w:t>
            </w:r>
          </w:p>
        </w:tc>
      </w:tr>
      <w:tr w:rsidR="005A6A77" w14:paraId="74ACEADF" w14:textId="77777777" w:rsidTr="005A6A77">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3CA2A7B8" w14:textId="77777777" w:rsidR="005A6A77" w:rsidRDefault="005A6A77">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47091E20" w14:textId="77777777" w:rsidR="005A6A77" w:rsidRDefault="005A6A77">
            <w:pPr>
              <w:keepNext/>
              <w:keepLines/>
              <w:snapToGrid w:val="0"/>
              <w:spacing w:after="0" w:line="240" w:lineRule="auto"/>
              <w:rPr>
                <w:rFonts w:ascii="Arial" w:hAnsi="Arial" w:cs="Arial"/>
                <w:color w:val="000000"/>
                <w:sz w:val="18"/>
                <w:szCs w:val="18"/>
              </w:rPr>
            </w:pPr>
            <w:r>
              <w:rPr>
                <w:rFonts w:ascii="Arial" w:hAnsi="Arial" w:cs="Arial"/>
                <w:color w:val="000000"/>
                <w:sz w:val="18"/>
                <w:szCs w:val="18"/>
              </w:rPr>
              <w:t>PA calibrated to deliver 30dBc ACLR for a fully allocated RBs in 20MHz QPSK DFT- S-OFDM waveform at 1 dB MPR.</w:t>
            </w:r>
          </w:p>
          <w:p w14:paraId="43D59B20" w14:textId="77777777" w:rsidR="005A6A77" w:rsidRDefault="005A6A77">
            <w:pPr>
              <w:keepNext/>
              <w:keepLines/>
              <w:snapToGrid w:val="0"/>
              <w:spacing w:after="0" w:line="240" w:lineRule="auto"/>
              <w:rPr>
                <w:rFonts w:ascii="Arial" w:hAnsi="Arial" w:cs="Arial"/>
                <w:b/>
                <w:color w:val="000000"/>
                <w:sz w:val="18"/>
                <w:szCs w:val="18"/>
              </w:rPr>
            </w:pPr>
            <w:r>
              <w:rPr>
                <w:rFonts w:ascii="Arial" w:hAnsi="Arial" w:cs="Arial"/>
                <w:color w:val="000000"/>
                <w:sz w:val="18"/>
                <w:szCs w:val="18"/>
              </w:rPr>
              <w:t>This is based to share PA between LTE V2X and NR V2X at 5.9GHz as worst case.</w:t>
            </w:r>
          </w:p>
        </w:tc>
      </w:tr>
    </w:tbl>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71511815" w:rsidR="00FC30F5" w:rsidRDefault="005369EE" w:rsidP="0037575E">
      <w:pPr>
        <w:snapToGrid w:val="0"/>
        <w:spacing w:after="0"/>
        <w:jc w:val="both"/>
      </w:pPr>
      <w:r>
        <w:t xml:space="preserve">This contribution provides </w:t>
      </w:r>
      <w:r w:rsidR="00D554FD">
        <w:t xml:space="preserve">our </w:t>
      </w:r>
      <w:r w:rsidR="00D554FD" w:rsidRPr="00D554FD">
        <w:t>consideration and initial analysis on RAN4 work for Rel-18 SL evolution</w:t>
      </w:r>
      <w:r w:rsidR="00B9662A">
        <w:t xml:space="preserve"> with the following </w:t>
      </w:r>
      <w:r w:rsidR="00D554FD">
        <w:t>and proposals:</w:t>
      </w:r>
    </w:p>
    <w:p w14:paraId="1F1F4EB8" w14:textId="551DBB82" w:rsidR="00B9662A" w:rsidRPr="00B9662A" w:rsidRDefault="00B9662A" w:rsidP="0037575E">
      <w:pPr>
        <w:snapToGrid w:val="0"/>
        <w:spacing w:after="0"/>
        <w:jc w:val="both"/>
        <w:rPr>
          <w:b/>
        </w:rPr>
      </w:pPr>
      <w:r w:rsidRPr="00B9662A">
        <w:rPr>
          <w:b/>
        </w:rPr>
        <w:fldChar w:fldCharType="begin"/>
      </w:r>
      <w:r w:rsidRPr="00B9662A">
        <w:rPr>
          <w:b/>
        </w:rPr>
        <w:instrText xml:space="preserve"> REF _Ref162972307 \h </w:instrText>
      </w:r>
      <w:r>
        <w:rPr>
          <w:b/>
        </w:rPr>
        <w:instrText xml:space="preserve"> \* MERGEFORMAT </w:instrText>
      </w:r>
      <w:r w:rsidRPr="00B9662A">
        <w:rPr>
          <w:b/>
        </w:rPr>
      </w:r>
      <w:r w:rsidRPr="00B9662A">
        <w:rPr>
          <w:b/>
        </w:rPr>
        <w:fldChar w:fldCharType="separate"/>
      </w:r>
      <w:r w:rsidRPr="00B9662A">
        <w:rPr>
          <w:b/>
          <w:i/>
        </w:rPr>
        <w:t xml:space="preserve">Proposal </w:t>
      </w:r>
      <w:r w:rsidRPr="00B9662A">
        <w:rPr>
          <w:b/>
          <w:i/>
          <w:noProof/>
        </w:rPr>
        <w:t>1</w:t>
      </w:r>
      <w:r w:rsidRPr="00B9662A">
        <w:rPr>
          <w:b/>
          <w:i/>
        </w:rPr>
        <w:t xml:space="preserve">: </w:t>
      </w:r>
      <w:r w:rsidRPr="00B9662A">
        <w:rPr>
          <w:b/>
          <w:i/>
          <w:sz w:val="20"/>
        </w:rPr>
        <w:t>The work in Rel-19 NR sidelink intra-band non-contiguous CA with power class 3 and power class 2 would include at least</w:t>
      </w:r>
      <w:r w:rsidRPr="00B9662A">
        <w:rPr>
          <w:b/>
        </w:rPr>
        <w:fldChar w:fldCharType="end"/>
      </w:r>
      <w:r w:rsidRPr="00B9662A">
        <w:rPr>
          <w:b/>
          <w:i/>
        </w:rPr>
        <w:t>:</w:t>
      </w:r>
    </w:p>
    <w:p w14:paraId="3393E285" w14:textId="77777777" w:rsidR="00B9662A" w:rsidRPr="005A6A77" w:rsidRDefault="00B9662A" w:rsidP="00B9662A">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Operating bands n47 for intra-band non-contiguous sidelink CA</w:t>
      </w:r>
    </w:p>
    <w:p w14:paraId="4B65E60D" w14:textId="77777777" w:rsidR="00B9662A" w:rsidRPr="005A6A77" w:rsidRDefault="00B9662A" w:rsidP="00B9662A">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 xml:space="preserve">Band combination(s) for intra-band non-contiguous SL CA </w:t>
      </w:r>
    </w:p>
    <w:p w14:paraId="1F37637B" w14:textId="77777777" w:rsidR="00B9662A" w:rsidRPr="005A6A77" w:rsidRDefault="00B9662A" w:rsidP="00B9662A">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 xml:space="preserve">Configurations and BCS for intra-band non-contiguous SL CA </w:t>
      </w:r>
    </w:p>
    <w:p w14:paraId="2AF02899" w14:textId="77777777" w:rsidR="00B9662A" w:rsidRPr="005A6A77" w:rsidRDefault="00B9662A" w:rsidP="00B9662A">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 xml:space="preserve">Tx requirements mainly on </w:t>
      </w:r>
    </w:p>
    <w:p w14:paraId="5A5230ED" w14:textId="77777777" w:rsidR="00B9662A" w:rsidRPr="005A6A77" w:rsidRDefault="00B9662A" w:rsidP="00B9662A">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 xml:space="preserve">Maximum output power </w:t>
      </w:r>
    </w:p>
    <w:p w14:paraId="1E2BC88B" w14:textId="77777777" w:rsidR="00B9662A" w:rsidRPr="005A6A77" w:rsidRDefault="00B9662A" w:rsidP="00B9662A">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rPr>
        <w:t>MPR for PC2 and PC3</w:t>
      </w:r>
    </w:p>
    <w:p w14:paraId="10B94B2D" w14:textId="77777777" w:rsidR="00B9662A" w:rsidRPr="005A6A77" w:rsidRDefault="00B9662A" w:rsidP="00B9662A">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US"/>
        </w:rPr>
        <w:t>Configured output power</w:t>
      </w:r>
    </w:p>
    <w:p w14:paraId="2F85A62F" w14:textId="77777777" w:rsidR="00B9662A" w:rsidRPr="005A6A77" w:rsidRDefault="00B9662A" w:rsidP="00B9662A">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GB"/>
        </w:rPr>
        <w:t>Update output power dynamic, transmit signal quality, out of band emission, spurious emissions</w:t>
      </w:r>
    </w:p>
    <w:p w14:paraId="354532B0" w14:textId="77777777" w:rsidR="00B9662A" w:rsidRPr="005A6A77" w:rsidRDefault="00B9662A" w:rsidP="00B9662A">
      <w:pPr>
        <w:pStyle w:val="aff6"/>
        <w:numPr>
          <w:ilvl w:val="0"/>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GB"/>
        </w:rPr>
        <w:t xml:space="preserve">Rx requirements mainly on </w:t>
      </w:r>
    </w:p>
    <w:p w14:paraId="3AB66D11" w14:textId="77777777" w:rsidR="00B9662A" w:rsidRPr="005A6A77" w:rsidRDefault="00B9662A" w:rsidP="00B9662A">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GB"/>
        </w:rPr>
        <w:t>REFSENS</w:t>
      </w:r>
    </w:p>
    <w:p w14:paraId="03830AEF" w14:textId="77777777" w:rsidR="00B9662A" w:rsidRPr="005A6A77" w:rsidRDefault="00B9662A" w:rsidP="00B9662A">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GB"/>
        </w:rPr>
        <w:t>Maximum input level,</w:t>
      </w:r>
    </w:p>
    <w:p w14:paraId="55471990" w14:textId="77777777" w:rsidR="00B9662A" w:rsidRPr="005A6A77" w:rsidRDefault="00B9662A" w:rsidP="00B9662A">
      <w:pPr>
        <w:pStyle w:val="aff6"/>
        <w:numPr>
          <w:ilvl w:val="1"/>
          <w:numId w:val="69"/>
        </w:numPr>
        <w:snapToGrid w:val="0"/>
        <w:spacing w:line="240" w:lineRule="auto"/>
        <w:ind w:firstLineChars="0"/>
        <w:rPr>
          <w:rFonts w:ascii="Times New Roman" w:hAnsi="Times New Roman"/>
          <w:b/>
          <w:i/>
          <w:sz w:val="20"/>
          <w:lang w:val="en-GB"/>
        </w:rPr>
      </w:pPr>
      <w:r w:rsidRPr="005A6A77">
        <w:rPr>
          <w:rFonts w:ascii="Times New Roman" w:hAnsi="Times New Roman"/>
          <w:b/>
          <w:i/>
          <w:sz w:val="20"/>
          <w:lang w:val="en-GB"/>
        </w:rPr>
        <w:t>ACS locking</w:t>
      </w:r>
    </w:p>
    <w:p w14:paraId="34080AD2" w14:textId="77777777" w:rsidR="00B9662A" w:rsidRDefault="00B9662A" w:rsidP="0037575E">
      <w:pPr>
        <w:snapToGrid w:val="0"/>
        <w:spacing w:after="0"/>
        <w:jc w:val="both"/>
      </w:pPr>
    </w:p>
    <w:p w14:paraId="339BCCB1" w14:textId="70AF3FCB" w:rsidR="00B9662A" w:rsidRPr="00B9662A" w:rsidRDefault="00B9662A" w:rsidP="0037575E">
      <w:pPr>
        <w:snapToGrid w:val="0"/>
        <w:spacing w:after="0"/>
        <w:jc w:val="both"/>
        <w:rPr>
          <w:b/>
        </w:rPr>
      </w:pPr>
      <w:r w:rsidRPr="00B9662A">
        <w:rPr>
          <w:b/>
        </w:rPr>
        <w:fldChar w:fldCharType="begin"/>
      </w:r>
      <w:r w:rsidRPr="00B9662A">
        <w:rPr>
          <w:b/>
        </w:rPr>
        <w:instrText xml:space="preserve"> REF _Ref162972309 \h </w:instrText>
      </w:r>
      <w:r>
        <w:rPr>
          <w:b/>
        </w:rPr>
        <w:instrText xml:space="preserve"> \* MERGEFORMAT </w:instrText>
      </w:r>
      <w:r w:rsidRPr="00B9662A">
        <w:rPr>
          <w:b/>
        </w:rPr>
      </w:r>
      <w:r w:rsidRPr="00B9662A">
        <w:rPr>
          <w:b/>
        </w:rPr>
        <w:fldChar w:fldCharType="separate"/>
      </w:r>
      <w:r w:rsidRPr="00B9662A">
        <w:rPr>
          <w:b/>
          <w:i/>
          <w:sz w:val="20"/>
        </w:rPr>
        <w:t xml:space="preserve">Proposal </w:t>
      </w:r>
      <w:r w:rsidRPr="00B9662A">
        <w:rPr>
          <w:b/>
          <w:i/>
          <w:noProof/>
          <w:sz w:val="20"/>
        </w:rPr>
        <w:t>2</w:t>
      </w:r>
      <w:r w:rsidRPr="00B9662A">
        <w:rPr>
          <w:b/>
          <w:i/>
          <w:sz w:val="20"/>
        </w:rPr>
        <w:t>: Single PA structure for intra-band non-contiguous SL CA is sufficient in Rel-19.</w:t>
      </w:r>
      <w:r w:rsidRPr="00B9662A">
        <w:rPr>
          <w:b/>
        </w:rPr>
        <w:fldChar w:fldCharType="end"/>
      </w:r>
    </w:p>
    <w:p w14:paraId="77669357" w14:textId="0E2F3939" w:rsidR="00B9662A" w:rsidRPr="00B9662A" w:rsidRDefault="00B9662A" w:rsidP="0037575E">
      <w:pPr>
        <w:snapToGrid w:val="0"/>
        <w:spacing w:after="0"/>
        <w:jc w:val="both"/>
        <w:rPr>
          <w:b/>
        </w:rPr>
      </w:pPr>
      <w:r w:rsidRPr="00B9662A">
        <w:rPr>
          <w:b/>
        </w:rPr>
        <w:fldChar w:fldCharType="begin"/>
      </w:r>
      <w:r w:rsidRPr="00B9662A">
        <w:rPr>
          <w:b/>
        </w:rPr>
        <w:instrText xml:space="preserve"> REF _Ref162899317 \h </w:instrText>
      </w:r>
      <w:r>
        <w:rPr>
          <w:b/>
        </w:rPr>
        <w:instrText xml:space="preserve"> \* MERGEFORMAT </w:instrText>
      </w:r>
      <w:r w:rsidRPr="00B9662A">
        <w:rPr>
          <w:b/>
        </w:rPr>
      </w:r>
      <w:r w:rsidRPr="00B9662A">
        <w:rPr>
          <w:b/>
        </w:rPr>
        <w:fldChar w:fldCharType="separate"/>
      </w:r>
      <w:r w:rsidRPr="00B9662A">
        <w:rPr>
          <w:b/>
          <w:i/>
          <w:sz w:val="20"/>
        </w:rPr>
        <w:t xml:space="preserve">Proposal </w:t>
      </w:r>
      <w:r w:rsidRPr="00B9662A">
        <w:rPr>
          <w:b/>
          <w:i/>
          <w:noProof/>
          <w:sz w:val="20"/>
        </w:rPr>
        <w:t>3</w:t>
      </w:r>
      <w:r w:rsidRPr="00B9662A">
        <w:rPr>
          <w:b/>
          <w:i/>
          <w:sz w:val="20"/>
        </w:rPr>
        <w:t>: For the MPR evaluation of intra-band non-contiguous CA with PC2/PC3, the simulation assumptions as follows should be agreed</w:t>
      </w:r>
      <w:r w:rsidRPr="00B9662A">
        <w:rPr>
          <w:b/>
        </w:rPr>
        <w:fldChar w:fldCharType="end"/>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B9662A" w14:paraId="267A5C2B" w14:textId="77777777" w:rsidTr="009342EF">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79C0602F" w14:textId="77777777" w:rsidR="00B9662A" w:rsidRDefault="00B9662A" w:rsidP="009342EF">
            <w:pPr>
              <w:keepNext/>
              <w:keepLines/>
              <w:snapToGrid w:val="0"/>
              <w:spacing w:after="0" w:line="240" w:lineRule="auto"/>
              <w:jc w:val="center"/>
              <w:rPr>
                <w:rFonts w:ascii="Arial" w:eastAsiaTheme="minorEastAsia" w:hAnsi="Arial" w:cs="Arial"/>
                <w:color w:val="000000"/>
                <w:sz w:val="18"/>
                <w:szCs w:val="18"/>
              </w:rPr>
            </w:pPr>
            <w:r>
              <w:rPr>
                <w:rFonts w:ascii="Arial" w:hAnsi="Arial" w:cs="Arial"/>
                <w:color w:val="000000"/>
                <w:sz w:val="18"/>
                <w:szCs w:val="18"/>
              </w:rPr>
              <w:t>Center frequency</w:t>
            </w:r>
          </w:p>
        </w:tc>
        <w:tc>
          <w:tcPr>
            <w:tcW w:w="3043" w:type="pct"/>
            <w:tcBorders>
              <w:top w:val="single" w:sz="8" w:space="0" w:color="auto"/>
              <w:left w:val="single" w:sz="4" w:space="0" w:color="000000"/>
              <w:bottom w:val="single" w:sz="4" w:space="0" w:color="000000"/>
              <w:right w:val="single" w:sz="8" w:space="0" w:color="auto"/>
            </w:tcBorders>
            <w:hideMark/>
          </w:tcPr>
          <w:p w14:paraId="6436D446"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5.</w:t>
            </w:r>
            <w:r>
              <w:rPr>
                <w:rFonts w:ascii="Arial" w:hAnsi="Arial" w:cs="Arial"/>
                <w:sz w:val="18"/>
                <w:szCs w:val="18"/>
              </w:rPr>
              <w:t>9</w:t>
            </w:r>
            <w:r>
              <w:rPr>
                <w:rFonts w:ascii="Arial" w:hAnsi="Arial" w:cs="Arial"/>
                <w:color w:val="000000"/>
                <w:sz w:val="18"/>
                <w:szCs w:val="18"/>
              </w:rPr>
              <w:t>GHz</w:t>
            </w:r>
          </w:p>
        </w:tc>
      </w:tr>
      <w:tr w:rsidR="00B9662A" w14:paraId="179BAD76" w14:textId="77777777" w:rsidTr="009342E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F2EB630"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7E101DBC"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per CC: 10/20/30/40MHz</w:t>
            </w:r>
          </w:p>
          <w:p w14:paraId="4B51AE61"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Aggregated CBW: Table 5.2.3-1 (up to 70MHz CBW)</w:t>
            </w:r>
          </w:p>
        </w:tc>
      </w:tr>
      <w:tr w:rsidR="00B9662A" w14:paraId="78601024" w14:textId="77777777" w:rsidTr="009342E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A5A42C3"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03C003D7" w14:textId="77777777" w:rsidR="00B9662A" w:rsidRPr="00B9662A" w:rsidRDefault="00B9662A" w:rsidP="009342EF">
            <w:pPr>
              <w:keepNext/>
              <w:keepLines/>
              <w:snapToGrid w:val="0"/>
              <w:spacing w:after="0" w:line="240" w:lineRule="auto"/>
              <w:jc w:val="center"/>
              <w:rPr>
                <w:rFonts w:ascii="Arial" w:hAnsi="Arial" w:cs="Arial"/>
                <w:color w:val="000000" w:themeColor="text1"/>
                <w:sz w:val="18"/>
                <w:szCs w:val="18"/>
              </w:rPr>
            </w:pPr>
            <w:r w:rsidRPr="00B9662A">
              <w:rPr>
                <w:rFonts w:ascii="Arial" w:hAnsi="Arial" w:cs="Arial"/>
                <w:color w:val="000000" w:themeColor="text1"/>
                <w:sz w:val="18"/>
                <w:szCs w:val="18"/>
              </w:rPr>
              <w:t>23dBm and 26dBm</w:t>
            </w:r>
          </w:p>
        </w:tc>
      </w:tr>
      <w:tr w:rsidR="00B9662A" w14:paraId="23D84515" w14:textId="77777777" w:rsidTr="009342E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8582865"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09127327" w14:textId="77777777" w:rsidR="00B9662A" w:rsidRPr="00B9662A" w:rsidRDefault="00B9662A" w:rsidP="009342EF">
            <w:pPr>
              <w:keepNext/>
              <w:keepLines/>
              <w:snapToGrid w:val="0"/>
              <w:spacing w:after="0" w:line="240" w:lineRule="auto"/>
              <w:jc w:val="center"/>
              <w:rPr>
                <w:rFonts w:ascii="Arial" w:hAnsi="Arial" w:cs="Arial"/>
                <w:color w:val="000000" w:themeColor="text1"/>
                <w:sz w:val="18"/>
                <w:szCs w:val="18"/>
              </w:rPr>
            </w:pPr>
            <w:r w:rsidRPr="00B9662A">
              <w:rPr>
                <w:rFonts w:ascii="Arial" w:hAnsi="Arial" w:cs="Arial"/>
                <w:color w:val="000000" w:themeColor="text1"/>
                <w:sz w:val="18"/>
                <w:szCs w:val="18"/>
              </w:rPr>
              <w:t>15 kHz/30kHz/60kHz</w:t>
            </w:r>
          </w:p>
        </w:tc>
      </w:tr>
      <w:tr w:rsidR="00B9662A" w14:paraId="0F020C20" w14:textId="77777777" w:rsidTr="009342E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ADF0D06"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1A036338" w14:textId="77777777" w:rsidR="00B9662A" w:rsidRPr="00B9662A" w:rsidRDefault="00B9662A" w:rsidP="009342EF">
            <w:pPr>
              <w:keepNext/>
              <w:keepLines/>
              <w:snapToGrid w:val="0"/>
              <w:spacing w:after="0" w:line="240" w:lineRule="auto"/>
              <w:jc w:val="center"/>
              <w:rPr>
                <w:rFonts w:ascii="Arial" w:hAnsi="Arial" w:cs="Arial"/>
                <w:color w:val="000000" w:themeColor="text1"/>
                <w:sz w:val="18"/>
                <w:szCs w:val="18"/>
              </w:rPr>
            </w:pPr>
            <w:r w:rsidRPr="00B9662A">
              <w:rPr>
                <w:rFonts w:ascii="Arial" w:hAnsi="Arial" w:cs="Arial"/>
                <w:color w:val="000000" w:themeColor="text1"/>
                <w:sz w:val="18"/>
                <w:szCs w:val="18"/>
              </w:rPr>
              <w:t>QPSK/16QAM/64QAM/256QAM</w:t>
            </w:r>
          </w:p>
        </w:tc>
      </w:tr>
      <w:tr w:rsidR="00B9662A" w14:paraId="55264E67" w14:textId="77777777" w:rsidTr="009342E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C97E49D"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4A2A55B1" w14:textId="77777777" w:rsidR="00B9662A" w:rsidRPr="00B9662A" w:rsidRDefault="00B9662A" w:rsidP="009342EF">
            <w:pPr>
              <w:keepNext/>
              <w:keepLines/>
              <w:snapToGrid w:val="0"/>
              <w:spacing w:after="0" w:line="240" w:lineRule="auto"/>
              <w:jc w:val="center"/>
              <w:rPr>
                <w:rFonts w:ascii="Arial" w:hAnsi="Arial" w:cs="Arial"/>
                <w:color w:val="000000" w:themeColor="text1"/>
                <w:sz w:val="18"/>
                <w:szCs w:val="18"/>
              </w:rPr>
            </w:pPr>
            <w:r w:rsidRPr="00B9662A">
              <w:rPr>
                <w:rFonts w:ascii="Arial" w:hAnsi="Arial" w:cs="Arial"/>
                <w:color w:val="000000" w:themeColor="text1"/>
                <w:sz w:val="18"/>
                <w:szCs w:val="18"/>
              </w:rPr>
              <w:t>CP-OFDM</w:t>
            </w:r>
          </w:p>
        </w:tc>
      </w:tr>
      <w:tr w:rsidR="00B9662A" w14:paraId="0B401532" w14:textId="77777777" w:rsidTr="009342E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99A9CDC"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7B807CC9" w14:textId="77777777" w:rsidR="00B9662A" w:rsidRPr="00B9662A" w:rsidRDefault="00B9662A" w:rsidP="009342EF">
            <w:pPr>
              <w:keepNext/>
              <w:keepLines/>
              <w:snapToGrid w:val="0"/>
              <w:spacing w:after="0" w:line="240" w:lineRule="auto"/>
              <w:jc w:val="center"/>
              <w:rPr>
                <w:rFonts w:ascii="Arial" w:hAnsi="Arial" w:cs="Arial"/>
                <w:color w:val="000000" w:themeColor="text1"/>
                <w:sz w:val="18"/>
                <w:szCs w:val="18"/>
              </w:rPr>
            </w:pPr>
            <w:r w:rsidRPr="00B9662A">
              <w:rPr>
                <w:rFonts w:ascii="Arial" w:hAnsi="Arial" w:cs="Arial"/>
                <w:color w:val="000000" w:themeColor="text1"/>
                <w:sz w:val="18"/>
                <w:szCs w:val="18"/>
              </w:rPr>
              <w:t>34dBc or 25dBc</w:t>
            </w:r>
          </w:p>
        </w:tc>
      </w:tr>
      <w:tr w:rsidR="00B9662A" w14:paraId="20CFE9FE" w14:textId="77777777" w:rsidTr="009342E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479E17A"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42CBD5A5"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25dBc</w:t>
            </w:r>
          </w:p>
        </w:tc>
      </w:tr>
      <w:tr w:rsidR="00B9662A" w14:paraId="3764264F" w14:textId="77777777" w:rsidTr="009342E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35080F3"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226FD5A7"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60dBc</w:t>
            </w:r>
          </w:p>
        </w:tc>
      </w:tr>
      <w:tr w:rsidR="00B9662A" w14:paraId="6AB7B4E2" w14:textId="77777777" w:rsidTr="009342EF">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181E78D9" w14:textId="77777777" w:rsidR="00B9662A" w:rsidRDefault="00B9662A" w:rsidP="009342EF">
            <w:pPr>
              <w:keepNext/>
              <w:keepLines/>
              <w:snapToGrid w:val="0"/>
              <w:spacing w:after="0" w:line="240" w:lineRule="auto"/>
              <w:jc w:val="center"/>
              <w:rPr>
                <w:rFonts w:ascii="Arial" w:hAnsi="Arial" w:cs="Arial"/>
                <w:color w:val="000000"/>
                <w:sz w:val="18"/>
                <w:szCs w:val="18"/>
              </w:rPr>
            </w:pPr>
            <w:r>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640ECFA2" w14:textId="77777777" w:rsidR="00B9662A" w:rsidRDefault="00B9662A" w:rsidP="009342EF">
            <w:pPr>
              <w:keepNext/>
              <w:keepLines/>
              <w:snapToGrid w:val="0"/>
              <w:spacing w:after="0" w:line="240" w:lineRule="auto"/>
              <w:rPr>
                <w:rFonts w:ascii="Arial" w:hAnsi="Arial" w:cs="Arial"/>
                <w:color w:val="000000"/>
                <w:sz w:val="18"/>
                <w:szCs w:val="18"/>
              </w:rPr>
            </w:pPr>
            <w:r>
              <w:rPr>
                <w:rFonts w:ascii="Arial" w:hAnsi="Arial" w:cs="Arial"/>
                <w:color w:val="000000"/>
                <w:sz w:val="18"/>
                <w:szCs w:val="18"/>
              </w:rPr>
              <w:t>PA calibrated to deliver 30dBc ACLR for a fully allocated RBs in 20MHz QPSK DFT- S-OFDM waveform at 1 dB MPR.</w:t>
            </w:r>
          </w:p>
          <w:p w14:paraId="27405989" w14:textId="77777777" w:rsidR="00B9662A" w:rsidRDefault="00B9662A" w:rsidP="009342EF">
            <w:pPr>
              <w:keepNext/>
              <w:keepLines/>
              <w:snapToGrid w:val="0"/>
              <w:spacing w:after="0" w:line="240" w:lineRule="auto"/>
              <w:rPr>
                <w:rFonts w:ascii="Arial" w:hAnsi="Arial" w:cs="Arial"/>
                <w:b/>
                <w:color w:val="000000"/>
                <w:sz w:val="18"/>
                <w:szCs w:val="18"/>
              </w:rPr>
            </w:pPr>
            <w:r>
              <w:rPr>
                <w:rFonts w:ascii="Arial" w:hAnsi="Arial" w:cs="Arial"/>
                <w:color w:val="000000"/>
                <w:sz w:val="18"/>
                <w:szCs w:val="18"/>
              </w:rPr>
              <w:t>This is based to share PA between LTE V2X and NR V2X at 5.9GHz as worst case.</w:t>
            </w:r>
          </w:p>
        </w:tc>
      </w:tr>
    </w:tbl>
    <w:p w14:paraId="6AABDE5E" w14:textId="6C864DE1" w:rsidR="00BD30BB" w:rsidRPr="00903973" w:rsidRDefault="00BD30BB" w:rsidP="00903973">
      <w:pPr>
        <w:snapToGrid w:val="0"/>
        <w:spacing w:before="120" w:after="0"/>
        <w:jc w:val="both"/>
        <w:rPr>
          <w:lang w:val="en-US"/>
        </w:rPr>
      </w:pPr>
    </w:p>
    <w:p w14:paraId="1973A0A5" w14:textId="77777777" w:rsidR="00B22DA6" w:rsidRDefault="00B22DA6" w:rsidP="0037575E">
      <w:pPr>
        <w:pStyle w:val="1"/>
        <w:numPr>
          <w:ilvl w:val="0"/>
          <w:numId w:val="0"/>
        </w:numPr>
        <w:jc w:val="both"/>
        <w:rPr>
          <w:rFonts w:eastAsia="宋体"/>
          <w:lang w:eastAsia="zh-CN"/>
        </w:rPr>
      </w:pPr>
      <w:r>
        <w:lastRenderedPageBreak/>
        <w:t>References</w:t>
      </w:r>
    </w:p>
    <w:p w14:paraId="1A0A5609" w14:textId="4FFD896B" w:rsidR="00EF48A7" w:rsidRDefault="0035262B" w:rsidP="002E78D1">
      <w:pPr>
        <w:snapToGrid w:val="0"/>
        <w:spacing w:after="120"/>
        <w:jc w:val="both"/>
        <w:rPr>
          <w:sz w:val="20"/>
        </w:rPr>
      </w:pPr>
      <w:r w:rsidRPr="00A530D3">
        <w:rPr>
          <w:rFonts w:hint="eastAsia"/>
          <w:sz w:val="20"/>
        </w:rPr>
        <w:t>[1]</w:t>
      </w:r>
      <w:r w:rsidR="005369EE" w:rsidRPr="00A530D3">
        <w:rPr>
          <w:sz w:val="20"/>
        </w:rPr>
        <w:t xml:space="preserve"> </w:t>
      </w:r>
      <w:r w:rsidR="00EA08C1" w:rsidRPr="00EA08C1">
        <w:rPr>
          <w:sz w:val="20"/>
        </w:rPr>
        <w:t>RP-240840</w:t>
      </w:r>
      <w:r w:rsidR="00FF72C5" w:rsidRPr="00A530D3">
        <w:rPr>
          <w:sz w:val="20"/>
        </w:rPr>
        <w:t xml:space="preserve"> </w:t>
      </w:r>
      <w:r w:rsidR="00EA08C1" w:rsidRPr="00EA08C1">
        <w:rPr>
          <w:sz w:val="20"/>
        </w:rPr>
        <w:t>New WID on NR Sidelink: Intra-band Carrier Aggregation in ITS band</w:t>
      </w:r>
    </w:p>
    <w:p w14:paraId="6DC8A5F3" w14:textId="77777777" w:rsidR="000A59F6" w:rsidRPr="00A530D3" w:rsidRDefault="000A59F6" w:rsidP="002E78D1">
      <w:pPr>
        <w:snapToGrid w:val="0"/>
        <w:spacing w:after="120"/>
        <w:jc w:val="both"/>
        <w:rPr>
          <w:sz w:val="20"/>
          <w:lang w:eastAsia="ja-JP"/>
        </w:rPr>
      </w:pPr>
    </w:p>
    <w:p w14:paraId="7EE3D162" w14:textId="77777777" w:rsidR="004E5F95" w:rsidRDefault="004E5F95" w:rsidP="0037575E">
      <w:pPr>
        <w:jc w:val="both"/>
        <w:rPr>
          <w:rFonts w:eastAsia="MS Mincho"/>
          <w:lang w:eastAsia="ja-JP"/>
        </w:rPr>
      </w:pPr>
    </w:p>
    <w:sectPr w:rsidR="004E5F9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9C304" w14:textId="77777777" w:rsidR="00F83B8A" w:rsidRDefault="00F83B8A" w:rsidP="0052762B">
      <w:r>
        <w:separator/>
      </w:r>
    </w:p>
  </w:endnote>
  <w:endnote w:type="continuationSeparator" w:id="0">
    <w:p w14:paraId="35FB663E" w14:textId="77777777" w:rsidR="00F83B8A" w:rsidRDefault="00F83B8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6F413F" w:rsidRDefault="006F413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6E6AA" w14:textId="77777777" w:rsidR="00F83B8A" w:rsidRDefault="00F83B8A" w:rsidP="0052762B">
      <w:r>
        <w:separator/>
      </w:r>
    </w:p>
  </w:footnote>
  <w:footnote w:type="continuationSeparator" w:id="0">
    <w:p w14:paraId="2093D290" w14:textId="77777777" w:rsidR="00F83B8A" w:rsidRDefault="00F83B8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0C26BF"/>
    <w:multiLevelType w:val="hybridMultilevel"/>
    <w:tmpl w:val="60E0D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DCE2691"/>
    <w:multiLevelType w:val="hybridMultilevel"/>
    <w:tmpl w:val="64EAC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4"/>
  </w:num>
  <w:num w:numId="3">
    <w:abstractNumId w:val="41"/>
  </w:num>
  <w:num w:numId="4">
    <w:abstractNumId w:val="61"/>
  </w:num>
  <w:num w:numId="5">
    <w:abstractNumId w:val="1"/>
  </w:num>
  <w:num w:numId="6">
    <w:abstractNumId w:val="60"/>
  </w:num>
  <w:num w:numId="7">
    <w:abstractNumId w:val="27"/>
  </w:num>
  <w:num w:numId="8">
    <w:abstractNumId w:val="49"/>
  </w:num>
  <w:num w:numId="9">
    <w:abstractNumId w:val="64"/>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30"/>
  </w:num>
  <w:num w:numId="19">
    <w:abstractNumId w:val="40"/>
  </w:num>
  <w:num w:numId="20">
    <w:abstractNumId w:val="38"/>
  </w:num>
  <w:num w:numId="21">
    <w:abstractNumId w:val="23"/>
  </w:num>
  <w:num w:numId="22">
    <w:abstractNumId w:val="9"/>
  </w:num>
  <w:num w:numId="23">
    <w:abstractNumId w:val="36"/>
  </w:num>
  <w:num w:numId="24">
    <w:abstractNumId w:val="59"/>
  </w:num>
  <w:num w:numId="25">
    <w:abstractNumId w:val="13"/>
  </w:num>
  <w:num w:numId="26">
    <w:abstractNumId w:val="58"/>
  </w:num>
  <w:num w:numId="27">
    <w:abstractNumId w:val="54"/>
  </w:num>
  <w:num w:numId="28">
    <w:abstractNumId w:val="28"/>
  </w:num>
  <w:num w:numId="29">
    <w:abstractNumId w:val="63"/>
  </w:num>
  <w:num w:numId="30">
    <w:abstractNumId w:val="42"/>
  </w:num>
  <w:num w:numId="31">
    <w:abstractNumId w:val="26"/>
  </w:num>
  <w:num w:numId="32">
    <w:abstractNumId w:val="50"/>
  </w:num>
  <w:num w:numId="33">
    <w:abstractNumId w:val="11"/>
  </w:num>
  <w:num w:numId="34">
    <w:abstractNumId w:val="14"/>
  </w:num>
  <w:num w:numId="35">
    <w:abstractNumId w:val="52"/>
  </w:num>
  <w:num w:numId="36">
    <w:abstractNumId w:val="29"/>
  </w:num>
  <w:num w:numId="37">
    <w:abstractNumId w:val="12"/>
  </w:num>
  <w:num w:numId="38">
    <w:abstractNumId w:val="45"/>
  </w:num>
  <w:num w:numId="39">
    <w:abstractNumId w:val="5"/>
  </w:num>
  <w:num w:numId="40">
    <w:abstractNumId w:val="39"/>
  </w:num>
  <w:num w:numId="41">
    <w:abstractNumId w:val="24"/>
  </w:num>
  <w:num w:numId="42">
    <w:abstractNumId w:val="20"/>
  </w:num>
  <w:num w:numId="43">
    <w:abstractNumId w:val="31"/>
  </w:num>
  <w:num w:numId="44">
    <w:abstractNumId w:val="53"/>
  </w:num>
  <w:num w:numId="45">
    <w:abstractNumId w:val="3"/>
  </w:num>
  <w:num w:numId="46">
    <w:abstractNumId w:val="44"/>
  </w:num>
  <w:num w:numId="47">
    <w:abstractNumId w:val="55"/>
  </w:num>
  <w:num w:numId="48">
    <w:abstractNumId w:val="17"/>
  </w:num>
  <w:num w:numId="49">
    <w:abstractNumId w:val="13"/>
  </w:num>
  <w:num w:numId="50">
    <w:abstractNumId w:val="13"/>
  </w:num>
  <w:num w:numId="51">
    <w:abstractNumId w:val="57"/>
  </w:num>
  <w:num w:numId="52">
    <w:abstractNumId w:val="48"/>
  </w:num>
  <w:num w:numId="53">
    <w:abstractNumId w:val="32"/>
  </w:num>
  <w:num w:numId="54">
    <w:abstractNumId w:val="51"/>
  </w:num>
  <w:num w:numId="55">
    <w:abstractNumId w:val="18"/>
  </w:num>
  <w:num w:numId="56">
    <w:abstractNumId w:val="21"/>
  </w:num>
  <w:num w:numId="57">
    <w:abstractNumId w:val="56"/>
  </w:num>
  <w:num w:numId="58">
    <w:abstractNumId w:val="35"/>
  </w:num>
  <w:num w:numId="59">
    <w:abstractNumId w:val="6"/>
  </w:num>
  <w:num w:numId="60">
    <w:abstractNumId w:val="37"/>
  </w:num>
  <w:num w:numId="61">
    <w:abstractNumId w:val="10"/>
  </w:num>
  <w:num w:numId="62">
    <w:abstractNumId w:val="22"/>
  </w:num>
  <w:num w:numId="63">
    <w:abstractNumId w:val="47"/>
  </w:num>
  <w:num w:numId="64">
    <w:abstractNumId w:val="4"/>
  </w:num>
  <w:num w:numId="65">
    <w:abstractNumId w:val="43"/>
  </w:num>
  <w:num w:numId="66">
    <w:abstractNumId w:val="7"/>
  </w:num>
  <w:num w:numId="67">
    <w:abstractNumId w:val="62"/>
  </w:num>
  <w:num w:numId="68">
    <w:abstractNumId w:val="33"/>
  </w:num>
  <w:num w:numId="69">
    <w:abstractNumId w:val="25"/>
  </w:num>
  <w:num w:numId="70">
    <w:abstractNumId w:val="4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1967"/>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12"/>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0DF1"/>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D72"/>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AE6"/>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475"/>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D4"/>
    <w:rsid w:val="00176AED"/>
    <w:rsid w:val="001779C0"/>
    <w:rsid w:val="00177C30"/>
    <w:rsid w:val="001804BE"/>
    <w:rsid w:val="00181AD5"/>
    <w:rsid w:val="00181E2D"/>
    <w:rsid w:val="001822D6"/>
    <w:rsid w:val="001824D1"/>
    <w:rsid w:val="00182D6C"/>
    <w:rsid w:val="0018314E"/>
    <w:rsid w:val="001838A1"/>
    <w:rsid w:val="00184134"/>
    <w:rsid w:val="001841B0"/>
    <w:rsid w:val="00185411"/>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C99"/>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009"/>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B35"/>
    <w:rsid w:val="002B45AA"/>
    <w:rsid w:val="002B5B27"/>
    <w:rsid w:val="002B6135"/>
    <w:rsid w:val="002B6BCD"/>
    <w:rsid w:val="002B6C05"/>
    <w:rsid w:val="002B6DFD"/>
    <w:rsid w:val="002B6FAF"/>
    <w:rsid w:val="002B768E"/>
    <w:rsid w:val="002B7B57"/>
    <w:rsid w:val="002C01E3"/>
    <w:rsid w:val="002C0617"/>
    <w:rsid w:val="002C061F"/>
    <w:rsid w:val="002C0E26"/>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5FA"/>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2FB"/>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BEA"/>
    <w:rsid w:val="004D0D39"/>
    <w:rsid w:val="004D124A"/>
    <w:rsid w:val="004D1781"/>
    <w:rsid w:val="004D1934"/>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3BD"/>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B6F"/>
    <w:rsid w:val="00545F72"/>
    <w:rsid w:val="005468EB"/>
    <w:rsid w:val="00546DDE"/>
    <w:rsid w:val="0054729A"/>
    <w:rsid w:val="0054769B"/>
    <w:rsid w:val="00547B42"/>
    <w:rsid w:val="00547C2B"/>
    <w:rsid w:val="00547DFE"/>
    <w:rsid w:val="00547EBF"/>
    <w:rsid w:val="005502D9"/>
    <w:rsid w:val="00550583"/>
    <w:rsid w:val="00550A34"/>
    <w:rsid w:val="00550C47"/>
    <w:rsid w:val="00550E85"/>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77"/>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2E8F"/>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F09"/>
    <w:rsid w:val="006B7276"/>
    <w:rsid w:val="006B7742"/>
    <w:rsid w:val="006B77EA"/>
    <w:rsid w:val="006B7A88"/>
    <w:rsid w:val="006C0069"/>
    <w:rsid w:val="006C035F"/>
    <w:rsid w:val="006C13E4"/>
    <w:rsid w:val="006C146A"/>
    <w:rsid w:val="006C1704"/>
    <w:rsid w:val="006C251C"/>
    <w:rsid w:val="006C252A"/>
    <w:rsid w:val="006C2585"/>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23AC"/>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7ED"/>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3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CF9"/>
    <w:rsid w:val="00973F00"/>
    <w:rsid w:val="00973F19"/>
    <w:rsid w:val="0097409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0D"/>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6E1B"/>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8C4"/>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662A"/>
    <w:rsid w:val="00B973B5"/>
    <w:rsid w:val="00B97422"/>
    <w:rsid w:val="00B97592"/>
    <w:rsid w:val="00B97E17"/>
    <w:rsid w:val="00BA105E"/>
    <w:rsid w:val="00BA1DA6"/>
    <w:rsid w:val="00BA2190"/>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C46"/>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48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6CD"/>
    <w:rsid w:val="00DE077B"/>
    <w:rsid w:val="00DE0CE6"/>
    <w:rsid w:val="00DE1458"/>
    <w:rsid w:val="00DE221F"/>
    <w:rsid w:val="00DE22A7"/>
    <w:rsid w:val="00DE2DD3"/>
    <w:rsid w:val="00DE2F8F"/>
    <w:rsid w:val="00DE3549"/>
    <w:rsid w:val="00DE39B6"/>
    <w:rsid w:val="00DE3BF3"/>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5C10"/>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A08"/>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047"/>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8C1"/>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439"/>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943"/>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B8A"/>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9662A"/>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rsid w:val="00123224"/>
    <w:rPr>
      <w:rFonts w:eastAsia="宋体"/>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704513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5C46E-9330-47C8-9A74-B3B9F657A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1698</TotalTime>
  <Pages>4</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31</cp:revision>
  <cp:lastPrinted>2010-01-07T02:23:00Z</cp:lastPrinted>
  <dcterms:created xsi:type="dcterms:W3CDTF">2024-03-29T09:39:00Z</dcterms:created>
  <dcterms:modified xsi:type="dcterms:W3CDTF">2024-04-07T12:39:00Z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(3)9CeHVv49JiJix2N38NO+cByAcGkN+D9P+a37pUoBZXq4xjpIgA1hUG1TFhFysIF8HMNH5k8e
2woYh6WoV41x3rgl7K9gXTsjyrdpgSzpvbigVURMlGw8DedeQ2ra4hqP+jrG0pi5ILuT0tM6
oAiHFabSwa/bfbNU9TL5RMbvaJv60ThzLn58UnQdsMhrIA9HvECDWupSV4cW4qAqd1VqudDM
H/no+bxAVtWlno7NYW</vt:lpwstr>
  </property>
  <property fmtid="{D5CDD505-2E9C-101B-9397-08002B2CF9AE}" pid="15" name="_2015_ms_pID_725343_00">
    <vt:lpwstr>_2015_ms_pID_725343</vt:lpwstr>
  </property>
  <property fmtid="{D5CDD505-2E9C-101B-9397-08002B2CF9AE}" pid="16" name="_2015_ms_pID_7253431">
    <vt:lpwstr>Qnf5VWgpK6cUf0GM3s97I+br6LZ2UKcRSOY5mzQyZlYOE9g1UZ/Iyz
L9uiHZeea9QHWcfq3z26J5qV60+nglbgmm8Ng8MFP3mcnPCU24Vcrk6DyNYBD64o4Ypq6zgv
xr9Y2yrvt1i7tTCvcSfEquXzZx+SfPXoiF4nKMWmDEhlxfuWwnFf08CuHwErK5zFNyjzD3kK
xJg3f1U1Ktu3HGQd6IRQYy63Ljyc+QlKuozF</vt:lpwstr>
  </property>
  <property fmtid="{D5CDD505-2E9C-101B-9397-08002B2CF9AE}" pid="17" name="_2015_ms_pID_7253431_00">
    <vt:lpwstr>_2015_ms_pID_7253431</vt:lpwstr>
  </property>
  <property fmtid="{D5CDD505-2E9C-101B-9397-08002B2CF9AE}" pid="18" name="_2015_ms_pID_7253432">
    <vt:lpwstr>FA==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1712493561</vt:lpwstr>
  </property>
</Properties>
</file>